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EFF52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3F74F3">
        <w:rPr>
          <w:rFonts w:ascii="Times New Roman" w:hAnsi="Times New Roman"/>
          <w:b/>
          <w:bCs/>
          <w:sz w:val="32"/>
          <w:szCs w:val="32"/>
        </w:rPr>
        <w:t>Patto di integrità</w:t>
      </w:r>
    </w:p>
    <w:p w14:paraId="6FF5D10A" w14:textId="77777777" w:rsidR="007214A3" w:rsidRPr="00FF7792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FF7792">
        <w:rPr>
          <w:rFonts w:ascii="Times New Roman" w:hAnsi="Times New Roman"/>
          <w:sz w:val="24"/>
          <w:szCs w:val="24"/>
        </w:rPr>
        <w:t xml:space="preserve">tra </w:t>
      </w:r>
      <w:r w:rsidR="00E61957" w:rsidRPr="00FF7792">
        <w:rPr>
          <w:rFonts w:ascii="Times New Roman" w:hAnsi="Times New Roman"/>
          <w:sz w:val="24"/>
          <w:szCs w:val="24"/>
        </w:rPr>
        <w:t>la Provincia di Matera</w:t>
      </w:r>
    </w:p>
    <w:p w14:paraId="44616E55" w14:textId="77777777" w:rsidR="007214A3" w:rsidRPr="00FF7792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FF7792">
        <w:rPr>
          <w:rFonts w:ascii="Times New Roman" w:hAnsi="Times New Roman"/>
          <w:sz w:val="24"/>
          <w:szCs w:val="24"/>
        </w:rPr>
        <w:t>e</w:t>
      </w:r>
    </w:p>
    <w:p w14:paraId="68D29CE6" w14:textId="54B350F7" w:rsidR="00286F12" w:rsidRPr="00CE202B" w:rsidRDefault="00FB2245" w:rsidP="00972D92">
      <w:pPr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</w:rPr>
      </w:pPr>
      <w:bookmarkStart w:id="0" w:name="_Hlk160706638"/>
      <w:bookmarkStart w:id="1" w:name="_GoBack"/>
      <w:bookmarkEnd w:id="1"/>
      <w:r w:rsidRPr="00C874AA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e la Ditta </w:t>
      </w:r>
      <w:r w:rsidR="001706E6" w:rsidRPr="001706E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: </w:t>
      </w:r>
      <w:r w:rsidR="00C874AA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ANTENORE DONATO </w:t>
      </w:r>
      <w:r w:rsidR="001706E6" w:rsidRPr="00C874AA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con sede legale </w:t>
      </w:r>
      <w:r w:rsidR="001706E6">
        <w:rPr>
          <w:rFonts w:ascii="Times New Roman" w:eastAsia="Times New Roman" w:hAnsi="Times New Roman" w:cs="Times New Roman"/>
          <w:kern w:val="3"/>
          <w:sz w:val="24"/>
          <w:szCs w:val="24"/>
          <w:highlight w:val="yellow"/>
        </w:rPr>
        <w:t>i</w:t>
      </w:r>
      <w:r w:rsidR="00C874AA">
        <w:rPr>
          <w:rFonts w:ascii="Times New Roman" w:eastAsia="Times New Roman" w:hAnsi="Times New Roman" w:cs="Times New Roman"/>
          <w:kern w:val="3"/>
          <w:sz w:val="24"/>
          <w:szCs w:val="24"/>
        </w:rPr>
        <w:t>n GROTTOLE</w:t>
      </w:r>
      <w:r w:rsidR="001706E6">
        <w:rPr>
          <w:rFonts w:ascii="Times New Roman" w:eastAsia="Times New Roman" w:hAnsi="Times New Roman" w:cs="Times New Roman"/>
          <w:kern w:val="3"/>
          <w:sz w:val="24"/>
          <w:szCs w:val="24"/>
        </w:rPr>
        <w:t>(mt)</w:t>
      </w:r>
      <w:r w:rsidR="00CE202B" w:rsidRPr="00D86093">
        <w:rPr>
          <w:rFonts w:ascii="Times New Roman" w:eastAsia="Times New Roman" w:hAnsi="Times New Roman" w:cs="Times New Roman"/>
          <w:b/>
          <w:bCs/>
          <w:kern w:val="3"/>
          <w:sz w:val="24"/>
          <w:szCs w:val="24"/>
        </w:rPr>
        <w:t xml:space="preserve"> </w:t>
      </w:r>
    </w:p>
    <w:bookmarkEnd w:id="0"/>
    <w:p w14:paraId="72DA2494" w14:textId="77777777" w:rsidR="000B3BF8" w:rsidRPr="000B3BF8" w:rsidRDefault="000B3BF8" w:rsidP="000B3BF8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35BA39BA" w14:textId="77777777" w:rsidR="00FF7792" w:rsidRPr="0055057E" w:rsidRDefault="00FF7792" w:rsidP="00FF7792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44456711" w14:textId="77777777" w:rsidR="0055057E" w:rsidRPr="00FF7792" w:rsidRDefault="0055057E" w:rsidP="00FF7792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1F7EECDF" w14:textId="0318F037" w:rsidR="006C411A" w:rsidRDefault="00E61957" w:rsidP="00D86093">
      <w:pPr>
        <w:ind w:left="1276" w:hanging="1276"/>
        <w:jc w:val="both"/>
        <w:rPr>
          <w:rFonts w:ascii="Times New Roman" w:hAnsi="Times New Roman"/>
          <w:b/>
          <w:sz w:val="24"/>
          <w:szCs w:val="24"/>
        </w:rPr>
      </w:pPr>
      <w:r w:rsidRPr="00D86093">
        <w:rPr>
          <w:rFonts w:ascii="Times New Roman" w:hAnsi="Times New Roman"/>
          <w:b/>
          <w:sz w:val="24"/>
          <w:szCs w:val="24"/>
        </w:rPr>
        <w:t>OGGETTO</w:t>
      </w:r>
      <w:r w:rsidR="00310F52" w:rsidRPr="00D86093">
        <w:rPr>
          <w:rFonts w:ascii="Times New Roman" w:hAnsi="Times New Roman"/>
          <w:b/>
          <w:sz w:val="24"/>
          <w:szCs w:val="24"/>
        </w:rPr>
        <w:t xml:space="preserve">: </w:t>
      </w:r>
      <w:r w:rsidR="00C874AA" w:rsidRPr="00C874AA">
        <w:rPr>
          <w:rFonts w:ascii="Times New Roman" w:hAnsi="Times New Roman"/>
          <w:b/>
          <w:sz w:val="24"/>
          <w:szCs w:val="24"/>
        </w:rPr>
        <w:t>MANUTENZIONE ORDINARIA E STRAORDINARIA RISERVA SAN GIULIANO,VIVAIO FORESTALE</w:t>
      </w:r>
      <w:r w:rsidR="00FB1490" w:rsidRPr="00FB1490">
        <w:rPr>
          <w:rFonts w:ascii="Times New Roman" w:hAnsi="Times New Roman"/>
          <w:b/>
          <w:sz w:val="24"/>
          <w:szCs w:val="24"/>
        </w:rPr>
        <w:t>.</w:t>
      </w:r>
    </w:p>
    <w:p w14:paraId="6FB8E71B" w14:textId="5EB47063" w:rsidR="00021562" w:rsidRPr="006C411A" w:rsidRDefault="006C411A" w:rsidP="00021562">
      <w:pPr>
        <w:ind w:left="1276"/>
        <w:jc w:val="both"/>
        <w:rPr>
          <w:rFonts w:ascii="Calibri" w:hAnsi="Calibri" w:cs="Calibri"/>
          <w:bCs/>
          <w:sz w:val="24"/>
          <w:szCs w:val="24"/>
        </w:rPr>
      </w:pPr>
      <w:r w:rsidRPr="006C411A">
        <w:rPr>
          <w:rFonts w:ascii="Times New Roman" w:hAnsi="Times New Roman"/>
          <w:bCs/>
          <w:sz w:val="24"/>
          <w:szCs w:val="24"/>
        </w:rPr>
        <w:t xml:space="preserve"> </w:t>
      </w:r>
    </w:p>
    <w:p w14:paraId="5CE646EC" w14:textId="77777777" w:rsidR="00021562" w:rsidRPr="009331F9" w:rsidRDefault="00021562" w:rsidP="00D86093">
      <w:pPr>
        <w:ind w:left="1276" w:hanging="1276"/>
        <w:jc w:val="both"/>
        <w:rPr>
          <w:bCs/>
        </w:rPr>
      </w:pPr>
    </w:p>
    <w:p w14:paraId="131EB7C8" w14:textId="047F9769" w:rsidR="001B4165" w:rsidRPr="0055057E" w:rsidRDefault="001B4165" w:rsidP="00987BBE">
      <w:pPr>
        <w:ind w:left="1701" w:hanging="1417"/>
        <w:jc w:val="both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1C7D3F43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(art. 1 co. 17 legge 190/2012)</w:t>
      </w:r>
    </w:p>
    <w:p w14:paraId="0BF0AB62" w14:textId="51048E3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1 </w:t>
      </w:r>
      <w:r w:rsidRPr="003F74F3">
        <w:rPr>
          <w:rFonts w:ascii="Times New Roman" w:hAnsi="Times New Roman"/>
          <w:bCs/>
          <w:sz w:val="24"/>
          <w:szCs w:val="24"/>
        </w:rPr>
        <w:t xml:space="preserve">– Il presente </w:t>
      </w:r>
      <w:r w:rsidRPr="003F74F3">
        <w:rPr>
          <w:rFonts w:ascii="Times New Roman" w:hAnsi="Times New Roman"/>
          <w:sz w:val="24"/>
          <w:szCs w:val="24"/>
        </w:rPr>
        <w:t>Patto d’integrità, costituisce parte integrante e sostanziale della gara</w:t>
      </w:r>
      <w:r>
        <w:rPr>
          <w:rFonts w:ascii="Times New Roman" w:hAnsi="Times New Roman"/>
          <w:sz w:val="24"/>
          <w:szCs w:val="24"/>
        </w:rPr>
        <w:t>/procedura</w:t>
      </w:r>
      <w:r w:rsidRPr="003F74F3">
        <w:rPr>
          <w:rFonts w:ascii="Times New Roman" w:hAnsi="Times New Roman"/>
          <w:sz w:val="24"/>
          <w:szCs w:val="24"/>
        </w:rPr>
        <w:t xml:space="preserve"> in oggetto e regola i comportamenti che vengono posti in essere dall’ Operato</w:t>
      </w:r>
      <w:r>
        <w:rPr>
          <w:rFonts w:ascii="Times New Roman" w:hAnsi="Times New Roman"/>
          <w:sz w:val="24"/>
          <w:szCs w:val="24"/>
        </w:rPr>
        <w:t>re economico, dal personale della Provincia di Matera</w:t>
      </w:r>
      <w:r w:rsidRPr="003F74F3">
        <w:rPr>
          <w:rFonts w:ascii="Times New Roman" w:hAnsi="Times New Roman"/>
          <w:sz w:val="24"/>
          <w:szCs w:val="24"/>
        </w:rPr>
        <w:t xml:space="preserve"> con riferimento al presente affidamento. Esso costituisce attuazione della disciplina riformata all'esito della entrata in vigore della L.120/2020, c.d.</w:t>
      </w:r>
      <w:r w:rsidR="00EE349D">
        <w:rPr>
          <w:rFonts w:ascii="Times New Roman" w:hAnsi="Times New Roman"/>
          <w:sz w:val="24"/>
          <w:szCs w:val="24"/>
        </w:rPr>
        <w:t xml:space="preserve"> </w:t>
      </w:r>
      <w:r w:rsidRPr="003F74F3">
        <w:rPr>
          <w:rFonts w:ascii="Times New Roman" w:hAnsi="Times New Roman"/>
          <w:sz w:val="24"/>
          <w:szCs w:val="24"/>
        </w:rPr>
        <w:t>Decreto Semplificazioni e ne recepisce i contenuti.</w:t>
      </w:r>
    </w:p>
    <w:p w14:paraId="2AEB915D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Esso obbliga stazione appaltante ed operatore economico ad improntare i propri comportamenti ai principi di lealtà, trasparenza e correttezza.</w:t>
      </w:r>
    </w:p>
    <w:p w14:paraId="2A34708F" w14:textId="039639F3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Nel caso l’operatore economico sia un consorzio ordinario, un raggruppament</w:t>
      </w:r>
      <w:r w:rsidR="00595934">
        <w:rPr>
          <w:rFonts w:ascii="Times New Roman" w:hAnsi="Times New Roman"/>
          <w:sz w:val="24"/>
          <w:szCs w:val="24"/>
        </w:rPr>
        <w:t>o</w:t>
      </w:r>
      <w:r w:rsidRPr="003F74F3">
        <w:rPr>
          <w:rFonts w:ascii="Times New Roman" w:hAnsi="Times New Roman"/>
          <w:sz w:val="24"/>
          <w:szCs w:val="24"/>
        </w:rPr>
        <w:t xml:space="preserve"> temporaneo o altra aggregazione d’imprese, le obbligazioni del presente investono tutti i partecipanti al consorzio, al raggruppamento, all’aggregazione.</w:t>
      </w:r>
    </w:p>
    <w:p w14:paraId="38CED446" w14:textId="3539C245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2</w:t>
      </w:r>
      <w:r w:rsidRPr="003F74F3">
        <w:rPr>
          <w:rFonts w:ascii="Times New Roman" w:hAnsi="Times New Roman"/>
          <w:sz w:val="24"/>
          <w:szCs w:val="24"/>
        </w:rPr>
        <w:t xml:space="preserve"> - Il presente Patto di integrità costituisce parte integrante di ogni contratto affidato dalla stazione appaltante, relativo a lavori, servizi e forniture. La mancata sottoscrizione del presente patto equivale </w:t>
      </w:r>
      <w:r>
        <w:rPr>
          <w:rFonts w:ascii="Times New Roman" w:hAnsi="Times New Roman"/>
          <w:sz w:val="24"/>
          <w:szCs w:val="24"/>
        </w:rPr>
        <w:t>ad</w:t>
      </w:r>
      <w:r w:rsidRPr="003F74F3">
        <w:rPr>
          <w:rFonts w:ascii="Times New Roman" w:hAnsi="Times New Roman"/>
          <w:sz w:val="24"/>
          <w:szCs w:val="24"/>
        </w:rPr>
        <w:t xml:space="preserve"> esclusione dell’operatore dalla gara, per cui, la sua espressa accettazione costituisce condizione di ammissione alle procedure di gara. Tale aspetto necessita di richiamo nei bandi di gara e nelle lettere di invito</w:t>
      </w:r>
    </w:p>
    <w:p w14:paraId="71B24F5A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3</w:t>
      </w:r>
      <w:r w:rsidRPr="003F74F3">
        <w:rPr>
          <w:rFonts w:ascii="Times New Roman" w:hAnsi="Times New Roman"/>
          <w:sz w:val="24"/>
          <w:szCs w:val="24"/>
        </w:rPr>
        <w:t xml:space="preserve"> – L’operatore economico:</w:t>
      </w:r>
    </w:p>
    <w:p w14:paraId="609B2C4D" w14:textId="77777777" w:rsidR="007214A3" w:rsidRPr="003F74F3" w:rsidRDefault="007214A3" w:rsidP="00E61957">
      <w:pPr>
        <w:pStyle w:val="Paragrafoelenco"/>
        <w:numPr>
          <w:ilvl w:val="0"/>
          <w:numId w:val="2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impegna al rispetto del patto di integrità</w:t>
      </w:r>
    </w:p>
    <w:p w14:paraId="3BFF6282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2. </w:t>
      </w:r>
      <w:r w:rsidRPr="003F74F3">
        <w:rPr>
          <w:szCs w:val="24"/>
        </w:rPr>
        <w:t xml:space="preserve">dichiara di non aver influenzato in alcun modo, il procedimento amministrativo diretto a stabilire il contenuto del bando o di altro atto equipollente al fine di condizionare le modalità di scelta del </w:t>
      </w:r>
      <w:r>
        <w:rPr>
          <w:szCs w:val="24"/>
        </w:rPr>
        <w:t>contraente da parte dell’ A</w:t>
      </w:r>
      <w:r w:rsidRPr="003F74F3">
        <w:rPr>
          <w:szCs w:val="24"/>
        </w:rPr>
        <w:t xml:space="preserve">mministrazione aggiudicatrice e di non aver corrisposto né promesso di </w:t>
      </w:r>
      <w:r w:rsidRPr="003F74F3">
        <w:rPr>
          <w:szCs w:val="24"/>
        </w:rPr>
        <w:lastRenderedPageBreak/>
        <w:t>corrispondere ad alcuno, direttamente o tramite terzi, ivi compresi soggetti collegati o controllati, somme di danaro o altra utilità finalizzate a facilitare l’ aggiudicazione e/o la gestione del contratto.</w:t>
      </w:r>
    </w:p>
    <w:p w14:paraId="4F72FB94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3. </w:t>
      </w:r>
      <w:r w:rsidRPr="003F74F3">
        <w:rPr>
          <w:szCs w:val="24"/>
        </w:rPr>
        <w:t>esclude ogni forma di mediazione, o altra opera di terzi, finalizzata all’aggiudicazione ed alla successiva gestione del rapporto contrattuale;</w:t>
      </w:r>
    </w:p>
    <w:p w14:paraId="092A3B41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4. </w:t>
      </w:r>
      <w:r w:rsidRPr="003F74F3">
        <w:rPr>
          <w:szCs w:val="24"/>
        </w:rPr>
        <w:t>assicura di non trovarsi in situazione di controllo o di collegamento, formale o sostanziale, con altri concorrenti e che non si è accordato, e non si accorderà, con altri partecipanti alla procedura;</w:t>
      </w:r>
    </w:p>
    <w:p w14:paraId="342FE1F7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5. </w:t>
      </w:r>
      <w:r w:rsidRPr="003F74F3">
        <w:rPr>
          <w:szCs w:val="24"/>
        </w:rPr>
        <w:t>assicura di non aver consolidato intese o pratiche vietate restrittive o lesive della concorrenza e del mercato;</w:t>
      </w:r>
    </w:p>
    <w:p w14:paraId="2BFC80CC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6. </w:t>
      </w:r>
      <w:r w:rsidRPr="003F74F3">
        <w:rPr>
          <w:szCs w:val="24"/>
        </w:rPr>
        <w:t>s</w:t>
      </w:r>
      <w:r>
        <w:rPr>
          <w:szCs w:val="24"/>
        </w:rPr>
        <w:t>egnala, al Responsabile</w:t>
      </w:r>
      <w:r w:rsidRPr="003F74F3">
        <w:rPr>
          <w:szCs w:val="24"/>
        </w:rPr>
        <w:t xml:space="preserve"> della prev</w:t>
      </w:r>
      <w:r>
        <w:rPr>
          <w:szCs w:val="24"/>
        </w:rPr>
        <w:t>enzione della corruzione della S</w:t>
      </w:r>
      <w:r w:rsidRPr="003F74F3">
        <w:rPr>
          <w:szCs w:val="24"/>
        </w:rPr>
        <w:t>tazione appaltante e al</w:t>
      </w:r>
      <w:r>
        <w:rPr>
          <w:szCs w:val="24"/>
        </w:rPr>
        <w:t>l’ Autorità giudiziaria o agli O</w:t>
      </w:r>
      <w:r w:rsidRPr="003F74F3">
        <w:rPr>
          <w:szCs w:val="24"/>
        </w:rPr>
        <w:t>rgani di polizia, ogni irregolarità, distorsione, tentativo di turbativa della gara e della successiva gestione del rapporto contrattuale, poste in essere da chiunque e, in particolare, da amministratori, dipendenti o collaboratori della stazione appaltante; al segnalante di applicano, per quanto compatibili, le tutele previste dall’articolo 1 comma 51 della legge 190/2012;</w:t>
      </w:r>
    </w:p>
    <w:p w14:paraId="10E5D134" w14:textId="03DEA43E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7. </w:t>
      </w:r>
      <w:r w:rsidRPr="003F74F3">
        <w:rPr>
          <w:szCs w:val="24"/>
        </w:rPr>
        <w:t>informa i propri collaboratori e dipendenti degli obblighi recati dal presente e vigila affinché detti obblighi siano osservati da tutti i collaboratori e dipendenti;</w:t>
      </w:r>
    </w:p>
    <w:p w14:paraId="5B97691E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>8. collabora con le forze di P</w:t>
      </w:r>
      <w:r w:rsidRPr="003F74F3">
        <w:rPr>
          <w:szCs w:val="24"/>
        </w:rPr>
        <w:t>ubblica sicurezza, denunciando ogni tentativo di estorsione, intimidazione o condizionamento quali, a titolo d’esempio: richieste di tangenti, pressioni per indirizzare l’assunzione di personale o l’affidamento di subappalti, danneggiamenti o furti di beni personali o in cantiere;</w:t>
      </w:r>
    </w:p>
    <w:p w14:paraId="5AA88AB3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9. </w:t>
      </w:r>
      <w:r w:rsidRPr="003F74F3">
        <w:rPr>
          <w:szCs w:val="24"/>
        </w:rPr>
        <w:t>acquisisce, con le stesse modalità e gli stessi adempimenti previsti dalla normativa vigente in materia di subappalto, la p</w:t>
      </w:r>
      <w:r>
        <w:rPr>
          <w:szCs w:val="24"/>
        </w:rPr>
        <w:t>reventiva autorizzazione della S</w:t>
      </w:r>
      <w:r w:rsidRPr="003F74F3">
        <w:rPr>
          <w:szCs w:val="24"/>
        </w:rPr>
        <w:t>tazione appaltante anche per cottimi e sub-affidamenti relativi alle seguenti categorie: A. trasporto di materiali a discarica per conto di terzi; B. trasporto, anche transfrontaliero, e smaltimento rifiuti per conto terzi; C. estrazione, fornitura e trasporto terra e materiali inerti; D. confezionamento, fornitura e trasporto di calcestruzzo e di bitume; E. noli a freddo di macchinari; F. forniture di ferro lavorato; G. noli a caldo; H. autot</w:t>
      </w:r>
      <w:r>
        <w:rPr>
          <w:szCs w:val="24"/>
        </w:rPr>
        <w:t xml:space="preserve">rasporti per conto di terzi; I </w:t>
      </w:r>
      <w:r w:rsidRPr="003F74F3">
        <w:rPr>
          <w:szCs w:val="24"/>
        </w:rPr>
        <w:t>guardiania dei cantieri;</w:t>
      </w:r>
    </w:p>
    <w:p w14:paraId="0EDDD6F6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10. </w:t>
      </w:r>
      <w:r w:rsidRPr="003F74F3">
        <w:rPr>
          <w:szCs w:val="24"/>
        </w:rPr>
        <w:t>inserisce le clausole di integrità e anticorruzione di cui sopra nei contratti di subappalto, pena il diniego dell’autorizzazione;</w:t>
      </w:r>
    </w:p>
    <w:p w14:paraId="6F8C5E5A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11. </w:t>
      </w:r>
      <w:r w:rsidRPr="003F74F3">
        <w:rPr>
          <w:szCs w:val="24"/>
        </w:rPr>
        <w:t>comunica tempestivamente, a</w:t>
      </w:r>
      <w:r>
        <w:rPr>
          <w:szCs w:val="24"/>
        </w:rPr>
        <w:t>lla S</w:t>
      </w:r>
      <w:r w:rsidRPr="003F74F3">
        <w:rPr>
          <w:szCs w:val="24"/>
        </w:rPr>
        <w:t>tazione appaltante, alla Prefettura e all’Autorità giudiziaria,  tentativi di concussione che si siano, in qualsiasi modo, manifestati nei confronti dell’imprenditore, degli organi sociali o dei dirigenti di impresa; questo adempimento ha natura essenziale ai fini della esecuzione del contratto; il relativo inadempimento darà luogo alla risoluzione del contratto stesso, ai sensi dell’articolo 1456 del c.c.; medesima risoluzione interverrà ogni qualvolta nei confronti di pubblici amministratori, che abbiano esercitato funzioni relative alla stipula ed esecuzione del contratto, sia disposta misura cautelare o sia intervenuto rinvio a giudizio per il delitto previsto dall’articolo 317 del c.p. . Le segnalazioni potranno esse</w:t>
      </w:r>
      <w:r>
        <w:rPr>
          <w:szCs w:val="24"/>
        </w:rPr>
        <w:t>re indirizzate direttamente al Responsabile</w:t>
      </w:r>
      <w:r w:rsidRPr="003F74F3">
        <w:rPr>
          <w:szCs w:val="24"/>
        </w:rPr>
        <w:t xml:space="preserve"> della prevenzione della corruzione, oltre al RUP.</w:t>
      </w:r>
    </w:p>
    <w:p w14:paraId="2C28054D" w14:textId="77777777" w:rsidR="006C411A" w:rsidRDefault="006C411A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</w:p>
    <w:p w14:paraId="355028AE" w14:textId="77777777" w:rsidR="00397E50" w:rsidRDefault="00397E50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</w:p>
    <w:p w14:paraId="770C8B5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lastRenderedPageBreak/>
        <w:t xml:space="preserve">Articolo 4 – </w:t>
      </w:r>
      <w:r w:rsidRPr="003F74F3">
        <w:rPr>
          <w:rFonts w:ascii="Times New Roman" w:hAnsi="Times New Roman"/>
          <w:sz w:val="24"/>
          <w:szCs w:val="24"/>
        </w:rPr>
        <w:t>La stazione appaltante:</w:t>
      </w:r>
    </w:p>
    <w:p w14:paraId="374B8BE9" w14:textId="77777777" w:rsidR="007214A3" w:rsidRPr="003F74F3" w:rsidRDefault="007214A3" w:rsidP="00E61957">
      <w:pPr>
        <w:pStyle w:val="Paragrafoelenco"/>
        <w:numPr>
          <w:ilvl w:val="0"/>
          <w:numId w:val="4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rispetta i principi di lealtà, trasparenza e correttezza;  </w:t>
      </w:r>
    </w:p>
    <w:p w14:paraId="68433FBC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personale, intervenuto nella procedura di gara e nell’esecuzione del contratto, in caso di violazione di detti principi;</w:t>
      </w:r>
    </w:p>
    <w:p w14:paraId="76F1042F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 nel caso di violazione del proprio “</w:t>
      </w:r>
      <w:r w:rsidRPr="003F74F3">
        <w:rPr>
          <w:i/>
          <w:szCs w:val="24"/>
        </w:rPr>
        <w:t xml:space="preserve">codice di comportamento dei dipendenti” </w:t>
      </w:r>
      <w:r w:rsidRPr="003F74F3">
        <w:rPr>
          <w:szCs w:val="24"/>
        </w:rPr>
        <w:t>e del DPR 62/2013 (</w:t>
      </w:r>
      <w:r w:rsidRPr="003F74F3">
        <w:rPr>
          <w:i/>
          <w:szCs w:val="24"/>
        </w:rPr>
        <w:t>Regolamento recante codice di comportamento dei dipendenti pubblici</w:t>
      </w:r>
      <w:r w:rsidRPr="003F74F3">
        <w:rPr>
          <w:szCs w:val="24"/>
        </w:rPr>
        <w:t>);</w:t>
      </w:r>
    </w:p>
    <w:p w14:paraId="173A66B4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avvale della clausola risolutiva espressa, di cui all’articolo 1456 c.c., ogni qualvolta nei confronti dell’operatore economico, di taluno dei componenti la compagine sociale o dei dirigenti dell’impresa, sia stata disposta misura cautelare o sia intervenuto rinvio a giudizio per taluno dei delitti di cui agli articoli 317 c.p., 318 c.p., 319 c.p., 319-bis c.p., 319-ter c.p., 319-quater c.p., 320 c.p., 322 c.p., 322-bis c.p., 346-bis c.p., 353 c.p. e 353-bis c.p., alcuni dei quali modificati  successivamente dalla L.3/2019.</w:t>
      </w:r>
    </w:p>
    <w:p w14:paraId="3682C2F6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segnala, senza indugio, ogni illecito all’Autorità giudiziaria;</w:t>
      </w:r>
    </w:p>
    <w:p w14:paraId="517E1A5A" w14:textId="77777777" w:rsidR="007214A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rende pubblici i dati riguardanti la procedura e l’aggiudicazione in esecuzione della normativa in materia di trasparenza.</w:t>
      </w:r>
    </w:p>
    <w:p w14:paraId="1F359301" w14:textId="77777777" w:rsidR="006C411A" w:rsidRPr="003F74F3" w:rsidRDefault="006C411A" w:rsidP="006C411A">
      <w:pPr>
        <w:pStyle w:val="Paragrafoelenco"/>
        <w:suppressAutoHyphens/>
        <w:autoSpaceDN w:val="0"/>
        <w:spacing w:before="100" w:beforeAutospacing="1"/>
        <w:ind w:left="360"/>
        <w:jc w:val="both"/>
        <w:rPr>
          <w:szCs w:val="24"/>
        </w:rPr>
      </w:pPr>
    </w:p>
    <w:p w14:paraId="6DC5D75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5 - </w:t>
      </w:r>
      <w:r w:rsidRPr="003F74F3">
        <w:rPr>
          <w:rFonts w:ascii="Times New Roman" w:hAnsi="Times New Roman"/>
          <w:sz w:val="24"/>
          <w:szCs w:val="24"/>
        </w:rPr>
        <w:t>La violazione del Patto di integrità è decretata dalla stazione appaltante a conclusione di un procedimento di verifica, nel quale è assicurata all’operatore economico la possibilità di depositare memorie difensive e controdeduzioni.</w:t>
      </w:r>
    </w:p>
    <w:p w14:paraId="59E427D5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La violazione da parte dell’operatore economico, sia quale concorrente, sia quale aggiudicatario, di uno degli impegni previsti dal presente può comportare:</w:t>
      </w:r>
    </w:p>
    <w:p w14:paraId="20D90BCB" w14:textId="77777777" w:rsidR="007214A3" w:rsidRPr="003F74F3" w:rsidRDefault="007214A3" w:rsidP="00E61957">
      <w:pPr>
        <w:pStyle w:val="Paragrafoelenco"/>
        <w:numPr>
          <w:ilvl w:val="0"/>
          <w:numId w:val="7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l’esclusione dalla procedura di affidamento</w:t>
      </w:r>
    </w:p>
    <w:p w14:paraId="41A6366D" w14:textId="0F4F83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revoca dell’aggiudicazione</w:t>
      </w:r>
    </w:p>
    <w:p w14:paraId="2082B89C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del contratto;</w:t>
      </w:r>
    </w:p>
    <w:p w14:paraId="51F0F750" w14:textId="787334C2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incameramento della cauzione provvisoria per la partecipazione alla gara e della cauzione definitiva per l’esecuzione del contratto</w:t>
      </w:r>
    </w:p>
    <w:p w14:paraId="244C8C36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esclusione per 3 anni dalla partecipazione a gare indette</w:t>
      </w:r>
      <w:r>
        <w:rPr>
          <w:szCs w:val="24"/>
        </w:rPr>
        <w:t xml:space="preserve"> dalla Provincia di Matera</w:t>
      </w:r>
    </w:p>
    <w:p w14:paraId="27ABA66C" w14:textId="76BBF015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segnalazione all’ ANAC per l’iscrizione nel casellario informatico e alle Autorità competenti</w:t>
      </w:r>
    </w:p>
    <w:p w14:paraId="7F1C368D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nel caso di responsabilità </w:t>
      </w:r>
      <w:r>
        <w:rPr>
          <w:szCs w:val="24"/>
        </w:rPr>
        <w:t>per danno arrecato alla Provincia</w:t>
      </w:r>
      <w:r w:rsidRPr="003F74F3">
        <w:rPr>
          <w:szCs w:val="24"/>
        </w:rPr>
        <w:t xml:space="preserve"> e/o agli altri operatori economici, applicazione di una penale nella misura fino al 5% del valore del contratto in relazione alla gravità della violazione, impregiudicata la prova del maggior danno;</w:t>
      </w:r>
    </w:p>
    <w:p w14:paraId="7865BDB3" w14:textId="5E282B0F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espressa del contratto, ai sensi dell’art 1456 c.c., a seguito dell’esito interdittivo delle informative antimafia di cui all’ art 84 del d.lgs. n. 159/11. In tal caso sarà applicata una penale a titolo di liquidazione forfettaria dei danni nella misura del 10% del valore del contratto, salvo il maggior danno</w:t>
      </w:r>
    </w:p>
    <w:p w14:paraId="722B6D3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>Articolo 6 – Controversie</w:t>
      </w:r>
    </w:p>
    <w:p w14:paraId="070ACF0D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Ogni controversia relativa all’ interpretazione e all’ esecuzione del patto di integrità fra la stazione appaltante e i concorrenti o fra gli stessi sarà risolta dall’ Autorità giudiziaria del foro di</w:t>
      </w:r>
      <w:r>
        <w:rPr>
          <w:rFonts w:ascii="Times New Roman" w:hAnsi="Times New Roman"/>
          <w:sz w:val="24"/>
          <w:szCs w:val="24"/>
        </w:rPr>
        <w:t xml:space="preserve"> Matera.</w:t>
      </w:r>
    </w:p>
    <w:p w14:paraId="126FEE2B" w14:textId="77777777" w:rsidR="006C411A" w:rsidRPr="003F74F3" w:rsidRDefault="006C411A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B5CC03" w14:textId="4608B4EB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Articolo 7 </w:t>
      </w:r>
      <w:r w:rsidRPr="003F74F3">
        <w:rPr>
          <w:rFonts w:ascii="Times New Roman" w:hAnsi="Times New Roman"/>
          <w:b/>
          <w:bCs/>
          <w:sz w:val="24"/>
          <w:szCs w:val="24"/>
        </w:rPr>
        <w:t>– Efficacia del patto di integrità</w:t>
      </w:r>
    </w:p>
    <w:p w14:paraId="0D6061F7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Cs/>
          <w:sz w:val="24"/>
          <w:szCs w:val="24"/>
        </w:rPr>
        <w:t>Il presente</w:t>
      </w:r>
      <w:r w:rsidRPr="003F7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F74F3">
        <w:rPr>
          <w:rFonts w:ascii="Times New Roman" w:hAnsi="Times New Roman"/>
          <w:bCs/>
          <w:sz w:val="24"/>
          <w:szCs w:val="24"/>
        </w:rPr>
        <w:t xml:space="preserve">vincola l’operatore economico per tutta la durata della procedura di gara e, in caso di aggiudicazione, </w:t>
      </w:r>
      <w:r w:rsidRPr="003F74F3">
        <w:rPr>
          <w:rFonts w:ascii="Times New Roman" w:hAnsi="Times New Roman"/>
          <w:sz w:val="24"/>
          <w:szCs w:val="24"/>
        </w:rPr>
        <w:t>sino al completamento, a regola d’arte, della prestazione contrattuale.</w:t>
      </w:r>
    </w:p>
    <w:p w14:paraId="459AF029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Data</w:t>
      </w:r>
      <w:r w:rsidR="00EB6463">
        <w:rPr>
          <w:rFonts w:ascii="Times New Roman" w:hAnsi="Times New Roman"/>
          <w:sz w:val="24"/>
          <w:szCs w:val="24"/>
        </w:rPr>
        <w:t xml:space="preserve"> </w:t>
      </w:r>
      <w:r w:rsidR="00CE18CF">
        <w:rPr>
          <w:rFonts w:ascii="Times New Roman" w:hAnsi="Times New Roman"/>
          <w:sz w:val="24"/>
          <w:szCs w:val="24"/>
        </w:rPr>
        <w:t xml:space="preserve"> </w:t>
      </w:r>
    </w:p>
    <w:p w14:paraId="63FC2DE8" w14:textId="7808DC34" w:rsidR="00EB6463" w:rsidRDefault="00CE18CF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EE349D">
        <w:rPr>
          <w:rFonts w:ascii="Times New Roman" w:hAnsi="Times New Roman"/>
        </w:rPr>
        <w:t>L’impresa</w:t>
      </w:r>
    </w:p>
    <w:p w14:paraId="5C7A1564" w14:textId="77777777" w:rsidR="00EB6463" w:rsidRPr="008A39D3" w:rsidRDefault="00F5142C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     </w:t>
      </w:r>
    </w:p>
    <w:sectPr w:rsidR="00EB6463" w:rsidRPr="008A39D3" w:rsidSect="005C00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AA440" w14:textId="77777777" w:rsidR="004F7519" w:rsidRDefault="004F7519" w:rsidP="007214A3">
      <w:pPr>
        <w:spacing w:after="0" w:line="240" w:lineRule="auto"/>
      </w:pPr>
      <w:r>
        <w:separator/>
      </w:r>
    </w:p>
  </w:endnote>
  <w:endnote w:type="continuationSeparator" w:id="0">
    <w:p w14:paraId="7520914A" w14:textId="77777777" w:rsidR="004F7519" w:rsidRDefault="004F7519" w:rsidP="0072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99002" w14:textId="77777777" w:rsidR="004F7519" w:rsidRDefault="004F7519" w:rsidP="007214A3">
      <w:pPr>
        <w:spacing w:after="0" w:line="240" w:lineRule="auto"/>
      </w:pPr>
      <w:r>
        <w:separator/>
      </w:r>
    </w:p>
  </w:footnote>
  <w:footnote w:type="continuationSeparator" w:id="0">
    <w:p w14:paraId="50DCB1BC" w14:textId="77777777" w:rsidR="004F7519" w:rsidRDefault="004F7519" w:rsidP="00721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5733D"/>
    <w:multiLevelType w:val="multilevel"/>
    <w:tmpl w:val="8C0062CE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  <w:sz w:val="24"/>
      </w:rPr>
    </w:lvl>
  </w:abstractNum>
  <w:abstractNum w:abstractNumId="1" w15:restartNumberingAfterBreak="0">
    <w:nsid w:val="1F3D24E4"/>
    <w:multiLevelType w:val="multilevel"/>
    <w:tmpl w:val="1176416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abstractNum w:abstractNumId="2" w15:restartNumberingAfterBreak="0">
    <w:nsid w:val="7ABC3F7F"/>
    <w:multiLevelType w:val="multilevel"/>
    <w:tmpl w:val="44D28A84"/>
    <w:styleLink w:val="WWNum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4A3"/>
    <w:rsid w:val="000028B2"/>
    <w:rsid w:val="00021562"/>
    <w:rsid w:val="00056AEF"/>
    <w:rsid w:val="000B3BF8"/>
    <w:rsid w:val="000D7DFF"/>
    <w:rsid w:val="000E6526"/>
    <w:rsid w:val="00102C96"/>
    <w:rsid w:val="001250A1"/>
    <w:rsid w:val="0013232A"/>
    <w:rsid w:val="001706E6"/>
    <w:rsid w:val="00177517"/>
    <w:rsid w:val="001959C4"/>
    <w:rsid w:val="001A76AB"/>
    <w:rsid w:val="001B4165"/>
    <w:rsid w:val="001C329C"/>
    <w:rsid w:val="001D5701"/>
    <w:rsid w:val="002018BC"/>
    <w:rsid w:val="0023682A"/>
    <w:rsid w:val="00265E7F"/>
    <w:rsid w:val="0026649F"/>
    <w:rsid w:val="00286F12"/>
    <w:rsid w:val="002A727F"/>
    <w:rsid w:val="002D03DF"/>
    <w:rsid w:val="003107BA"/>
    <w:rsid w:val="00310F52"/>
    <w:rsid w:val="003674FE"/>
    <w:rsid w:val="00374935"/>
    <w:rsid w:val="003753C2"/>
    <w:rsid w:val="003962E2"/>
    <w:rsid w:val="00397E50"/>
    <w:rsid w:val="003D318D"/>
    <w:rsid w:val="003D4FB2"/>
    <w:rsid w:val="003D71AA"/>
    <w:rsid w:val="003F1611"/>
    <w:rsid w:val="00411154"/>
    <w:rsid w:val="00464774"/>
    <w:rsid w:val="00480F58"/>
    <w:rsid w:val="004A1A75"/>
    <w:rsid w:val="004B7BEA"/>
    <w:rsid w:val="004F7519"/>
    <w:rsid w:val="005031C2"/>
    <w:rsid w:val="00506292"/>
    <w:rsid w:val="00510D9E"/>
    <w:rsid w:val="00532F35"/>
    <w:rsid w:val="00534AD1"/>
    <w:rsid w:val="0055057E"/>
    <w:rsid w:val="005564C6"/>
    <w:rsid w:val="00566A9F"/>
    <w:rsid w:val="00595934"/>
    <w:rsid w:val="005A7C01"/>
    <w:rsid w:val="005C005A"/>
    <w:rsid w:val="005C0619"/>
    <w:rsid w:val="005C1927"/>
    <w:rsid w:val="005C6A9A"/>
    <w:rsid w:val="005D6A2A"/>
    <w:rsid w:val="005E323F"/>
    <w:rsid w:val="005F5F4C"/>
    <w:rsid w:val="00601C95"/>
    <w:rsid w:val="006225B5"/>
    <w:rsid w:val="00624274"/>
    <w:rsid w:val="00626902"/>
    <w:rsid w:val="00631D9A"/>
    <w:rsid w:val="00644165"/>
    <w:rsid w:val="00650AD2"/>
    <w:rsid w:val="00672AC4"/>
    <w:rsid w:val="006C2529"/>
    <w:rsid w:val="006C296F"/>
    <w:rsid w:val="006C411A"/>
    <w:rsid w:val="006D262E"/>
    <w:rsid w:val="006F121B"/>
    <w:rsid w:val="007214A3"/>
    <w:rsid w:val="00742927"/>
    <w:rsid w:val="00751FAC"/>
    <w:rsid w:val="007B2F97"/>
    <w:rsid w:val="007D13D5"/>
    <w:rsid w:val="007F1181"/>
    <w:rsid w:val="00815AD6"/>
    <w:rsid w:val="00840A72"/>
    <w:rsid w:val="0084458E"/>
    <w:rsid w:val="00873136"/>
    <w:rsid w:val="00874768"/>
    <w:rsid w:val="00887C05"/>
    <w:rsid w:val="00887E26"/>
    <w:rsid w:val="008A39D3"/>
    <w:rsid w:val="008A6D41"/>
    <w:rsid w:val="008B184F"/>
    <w:rsid w:val="008D3F49"/>
    <w:rsid w:val="008F70C5"/>
    <w:rsid w:val="009240BD"/>
    <w:rsid w:val="009331F9"/>
    <w:rsid w:val="00937150"/>
    <w:rsid w:val="00970FA4"/>
    <w:rsid w:val="00972D92"/>
    <w:rsid w:val="009823A4"/>
    <w:rsid w:val="009870E9"/>
    <w:rsid w:val="00987BBE"/>
    <w:rsid w:val="00990B10"/>
    <w:rsid w:val="00993D78"/>
    <w:rsid w:val="00996217"/>
    <w:rsid w:val="009A4C0F"/>
    <w:rsid w:val="009B56BC"/>
    <w:rsid w:val="00A251DE"/>
    <w:rsid w:val="00A2555C"/>
    <w:rsid w:val="00A42437"/>
    <w:rsid w:val="00AA7FDD"/>
    <w:rsid w:val="00AC3E38"/>
    <w:rsid w:val="00AF3357"/>
    <w:rsid w:val="00B16EE3"/>
    <w:rsid w:val="00B20FFC"/>
    <w:rsid w:val="00B24502"/>
    <w:rsid w:val="00B46A5B"/>
    <w:rsid w:val="00B574EE"/>
    <w:rsid w:val="00B97427"/>
    <w:rsid w:val="00C6310D"/>
    <w:rsid w:val="00C874AA"/>
    <w:rsid w:val="00CA084C"/>
    <w:rsid w:val="00CA0B07"/>
    <w:rsid w:val="00CC3DE3"/>
    <w:rsid w:val="00CE18CF"/>
    <w:rsid w:val="00CE202B"/>
    <w:rsid w:val="00D0061C"/>
    <w:rsid w:val="00D01118"/>
    <w:rsid w:val="00D2692E"/>
    <w:rsid w:val="00D515B7"/>
    <w:rsid w:val="00D86093"/>
    <w:rsid w:val="00DD6FEB"/>
    <w:rsid w:val="00E213B2"/>
    <w:rsid w:val="00E61957"/>
    <w:rsid w:val="00EB2DBD"/>
    <w:rsid w:val="00EB6463"/>
    <w:rsid w:val="00EE349D"/>
    <w:rsid w:val="00EF553D"/>
    <w:rsid w:val="00EF555B"/>
    <w:rsid w:val="00F05252"/>
    <w:rsid w:val="00F07C72"/>
    <w:rsid w:val="00F32AF3"/>
    <w:rsid w:val="00F5142C"/>
    <w:rsid w:val="00F61026"/>
    <w:rsid w:val="00F743D2"/>
    <w:rsid w:val="00F932C6"/>
    <w:rsid w:val="00FB1490"/>
    <w:rsid w:val="00FB2245"/>
    <w:rsid w:val="00FC7638"/>
    <w:rsid w:val="00FE0CCE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3C03"/>
  <w15:docId w15:val="{27E83E6A-EBFB-4253-A770-E88642EF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87C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214A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Standard">
    <w:name w:val="Standard"/>
    <w:rsid w:val="007214A3"/>
    <w:pPr>
      <w:suppressAutoHyphens/>
      <w:autoSpaceDN w:val="0"/>
    </w:pPr>
    <w:rPr>
      <w:rFonts w:ascii="Calibri" w:eastAsia="Times New Roman" w:hAnsi="Calibri" w:cs="Times New Roman"/>
      <w:kern w:val="3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214A3"/>
    <w:rPr>
      <w:position w:val="0"/>
      <w:vertAlign w:val="superscript"/>
    </w:rPr>
  </w:style>
  <w:style w:type="paragraph" w:styleId="Testonotaapidipagina">
    <w:name w:val="footnote text"/>
    <w:basedOn w:val="Standard"/>
    <w:link w:val="TestonotaapidipaginaCarattere"/>
    <w:uiPriority w:val="99"/>
    <w:semiHidden/>
    <w:unhideWhenUsed/>
    <w:rsid w:val="007214A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214A3"/>
    <w:rPr>
      <w:rFonts w:ascii="Calibri" w:eastAsia="Times New Roman" w:hAnsi="Calibri" w:cs="Times New Roman"/>
      <w:kern w:val="3"/>
      <w:sz w:val="20"/>
      <w:szCs w:val="20"/>
    </w:rPr>
  </w:style>
  <w:style w:type="numbering" w:customStyle="1" w:styleId="WWNum2">
    <w:name w:val="WWNum2"/>
    <w:rsid w:val="007214A3"/>
    <w:pPr>
      <w:numPr>
        <w:numId w:val="1"/>
      </w:numPr>
    </w:pPr>
  </w:style>
  <w:style w:type="numbering" w:customStyle="1" w:styleId="WWNum1">
    <w:name w:val="WWNum1"/>
    <w:rsid w:val="007214A3"/>
    <w:pPr>
      <w:numPr>
        <w:numId w:val="3"/>
      </w:numPr>
    </w:pPr>
  </w:style>
  <w:style w:type="numbering" w:customStyle="1" w:styleId="WWNum3">
    <w:name w:val="WWNum3"/>
    <w:rsid w:val="007214A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6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m.ettorre</dc:creator>
  <cp:lastModifiedBy>Utente</cp:lastModifiedBy>
  <cp:revision>2</cp:revision>
  <cp:lastPrinted>2023-10-27T06:56:00Z</cp:lastPrinted>
  <dcterms:created xsi:type="dcterms:W3CDTF">2024-12-23T13:50:00Z</dcterms:created>
  <dcterms:modified xsi:type="dcterms:W3CDTF">2024-12-23T13:50:00Z</dcterms:modified>
</cp:coreProperties>
</file>