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6A8E" w14:textId="77777777" w:rsidR="003D6322" w:rsidRPr="00D04ECE" w:rsidRDefault="003D6322" w:rsidP="003D6322">
      <w:pPr>
        <w:widowControl w:val="0"/>
        <w:autoSpaceDE w:val="0"/>
        <w:autoSpaceDN w:val="0"/>
        <w:adjustRightInd w:val="0"/>
        <w:ind w:left="5760" w:right="-20"/>
        <w:rPr>
          <w:rFonts w:asciiTheme="minorHAnsi" w:hAnsiTheme="minorHAnsi"/>
          <w:b/>
          <w:bCs/>
        </w:rPr>
      </w:pPr>
      <w:r w:rsidRPr="00D04ECE">
        <w:rPr>
          <w:rFonts w:asciiTheme="minorHAnsi" w:hAnsiTheme="minorHAnsi"/>
          <w:b/>
          <w:bCs/>
        </w:rPr>
        <w:t xml:space="preserve">Alla Provincia di Matera </w:t>
      </w:r>
    </w:p>
    <w:p w14:paraId="1992A2FA" w14:textId="77777777" w:rsidR="003D6322" w:rsidRPr="00D04ECE" w:rsidRDefault="003D6322" w:rsidP="003D6322">
      <w:pPr>
        <w:widowControl w:val="0"/>
        <w:autoSpaceDE w:val="0"/>
        <w:autoSpaceDN w:val="0"/>
        <w:adjustRightInd w:val="0"/>
        <w:ind w:left="5760" w:right="-20"/>
        <w:rPr>
          <w:rFonts w:asciiTheme="minorHAnsi" w:hAnsiTheme="minorHAnsi"/>
          <w:b/>
          <w:bCs/>
        </w:rPr>
      </w:pPr>
      <w:r w:rsidRPr="00D04ECE">
        <w:rPr>
          <w:rFonts w:asciiTheme="minorHAnsi" w:hAnsiTheme="minorHAnsi"/>
          <w:b/>
          <w:bCs/>
        </w:rPr>
        <w:t xml:space="preserve">Area </w:t>
      </w:r>
      <w:r>
        <w:rPr>
          <w:rFonts w:asciiTheme="minorHAnsi" w:hAnsiTheme="minorHAnsi"/>
          <w:b/>
          <w:bCs/>
        </w:rPr>
        <w:t>II Finanziaria</w:t>
      </w:r>
    </w:p>
    <w:p w14:paraId="29831F0C" w14:textId="77777777" w:rsidR="003D6322" w:rsidRPr="00D04ECE" w:rsidRDefault="003D6322" w:rsidP="003D6322">
      <w:pPr>
        <w:widowControl w:val="0"/>
        <w:autoSpaceDE w:val="0"/>
        <w:autoSpaceDN w:val="0"/>
        <w:adjustRightInd w:val="0"/>
        <w:ind w:left="5760" w:right="-20"/>
        <w:rPr>
          <w:rFonts w:asciiTheme="minorHAnsi" w:hAnsiTheme="minorHAnsi"/>
        </w:rPr>
      </w:pPr>
      <w:r w:rsidRPr="00D04ECE">
        <w:rPr>
          <w:rFonts w:asciiTheme="minorHAnsi" w:hAnsiTheme="minorHAnsi"/>
          <w:b/>
          <w:bCs/>
        </w:rPr>
        <w:t xml:space="preserve">Via D. </w:t>
      </w:r>
      <w:proofErr w:type="spellStart"/>
      <w:r w:rsidRPr="00D04ECE">
        <w:rPr>
          <w:rFonts w:asciiTheme="minorHAnsi" w:hAnsiTheme="minorHAnsi"/>
          <w:b/>
          <w:bCs/>
        </w:rPr>
        <w:t>Ridola</w:t>
      </w:r>
      <w:proofErr w:type="spellEnd"/>
      <w:r w:rsidRPr="00D04ECE">
        <w:rPr>
          <w:rFonts w:asciiTheme="minorHAnsi" w:hAnsiTheme="minorHAnsi"/>
          <w:b/>
          <w:bCs/>
        </w:rPr>
        <w:t xml:space="preserve">, </w:t>
      </w:r>
      <w:proofErr w:type="gramStart"/>
      <w:r w:rsidRPr="00D04ECE">
        <w:rPr>
          <w:rFonts w:asciiTheme="minorHAnsi" w:hAnsiTheme="minorHAnsi"/>
          <w:b/>
          <w:bCs/>
        </w:rPr>
        <w:t>60  -</w:t>
      </w:r>
      <w:proofErr w:type="gramEnd"/>
      <w:r w:rsidRPr="00D04ECE">
        <w:rPr>
          <w:rFonts w:asciiTheme="minorHAnsi" w:hAnsiTheme="minorHAnsi"/>
          <w:b/>
          <w:bCs/>
        </w:rPr>
        <w:t xml:space="preserve"> 75100 Matera </w:t>
      </w:r>
    </w:p>
    <w:p w14:paraId="264ADB1D" w14:textId="77777777" w:rsidR="003D6322" w:rsidRPr="00D04ECE" w:rsidRDefault="003D6322" w:rsidP="003D6322">
      <w:pPr>
        <w:widowControl w:val="0"/>
        <w:autoSpaceDE w:val="0"/>
        <w:autoSpaceDN w:val="0"/>
        <w:adjustRightInd w:val="0"/>
        <w:spacing w:before="5" w:line="140" w:lineRule="exact"/>
        <w:rPr>
          <w:rFonts w:asciiTheme="minorHAnsi" w:hAnsiTheme="minorHAnsi"/>
        </w:rPr>
      </w:pPr>
    </w:p>
    <w:p w14:paraId="20C4B384" w14:textId="77777777" w:rsidR="003D6322" w:rsidRPr="00D04ECE" w:rsidRDefault="003D6322" w:rsidP="003D6322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</w:rPr>
      </w:pPr>
    </w:p>
    <w:p w14:paraId="35278979" w14:textId="77777777" w:rsidR="003D6322" w:rsidRPr="00D04ECE" w:rsidRDefault="003D6322" w:rsidP="003D6322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14:paraId="2902EC0D" w14:textId="48D1BB7A" w:rsidR="007519B9" w:rsidRDefault="003D6322" w:rsidP="003D6322">
      <w:proofErr w:type="gramStart"/>
      <w:r w:rsidRPr="00D04ECE">
        <w:rPr>
          <w:rFonts w:asciiTheme="minorHAnsi" w:hAnsiTheme="minorHAnsi"/>
          <w:smallCaps/>
        </w:rPr>
        <w:t xml:space="preserve">oggetto:  </w:t>
      </w:r>
      <w:r>
        <w:rPr>
          <w:rFonts w:asciiTheme="minorHAnsi" w:hAnsiTheme="minorHAnsi"/>
        </w:rPr>
        <w:t>AFFIDAMENTO</w:t>
      </w:r>
      <w:proofErr w:type="gramEnd"/>
      <w:r>
        <w:rPr>
          <w:rFonts w:asciiTheme="minorHAnsi" w:hAnsiTheme="minorHAnsi"/>
        </w:rPr>
        <w:t xml:space="preserve"> SERVIZIO DI TESORERIA QUINQU</w:t>
      </w:r>
      <w:r w:rsidRPr="00A51C81">
        <w:rPr>
          <w:rFonts w:asciiTheme="minorHAnsi" w:hAnsiTheme="minorHAnsi"/>
        </w:rPr>
        <w:t>ENNIO 20</w:t>
      </w:r>
      <w:r>
        <w:rPr>
          <w:rFonts w:asciiTheme="minorHAnsi" w:hAnsiTheme="minorHAnsi"/>
        </w:rPr>
        <w:t>20</w:t>
      </w:r>
      <w:r w:rsidRPr="00A51C81">
        <w:rPr>
          <w:rFonts w:asciiTheme="minorHAnsi" w:hAnsiTheme="minorHAnsi"/>
        </w:rPr>
        <w:t>/20</w:t>
      </w:r>
      <w:r>
        <w:rPr>
          <w:rFonts w:asciiTheme="minorHAnsi" w:hAnsiTheme="minorHAnsi"/>
        </w:rPr>
        <w:t>24</w:t>
      </w:r>
      <w:r w:rsidRPr="00A51C81">
        <w:rPr>
          <w:rFonts w:asciiTheme="minorHAnsi" w:hAnsiTheme="minorHAnsi"/>
        </w:rPr>
        <w:t xml:space="preserve">- CIG </w:t>
      </w:r>
      <w:r w:rsidRPr="00AA3BD5">
        <w:rPr>
          <w:rFonts w:asciiTheme="minorHAnsi" w:hAnsiTheme="minorHAnsi"/>
        </w:rPr>
        <w:t>8119690428</w:t>
      </w:r>
    </w:p>
    <w:p w14:paraId="2C612C8C" w14:textId="26F6BD25" w:rsidR="003D6322" w:rsidRDefault="003D6322"/>
    <w:p w14:paraId="62C2F674" w14:textId="1C882AD0" w:rsidR="003D6322" w:rsidRDefault="003D6322"/>
    <w:p w14:paraId="2EDF2131" w14:textId="2B04D9B1" w:rsidR="003D6322" w:rsidRPr="003D6322" w:rsidRDefault="003D6322" w:rsidP="003D6322">
      <w:pPr>
        <w:jc w:val="center"/>
        <w:rPr>
          <w:rFonts w:asciiTheme="minorHAnsi" w:hAnsiTheme="minorHAnsi" w:cstheme="minorHAnsi"/>
        </w:rPr>
      </w:pPr>
      <w:r w:rsidRPr="003D6322">
        <w:rPr>
          <w:rFonts w:asciiTheme="minorHAnsi" w:hAnsiTheme="minorHAnsi" w:cstheme="minorHAnsi"/>
        </w:rPr>
        <w:t>OFFERTA TECNICA</w:t>
      </w:r>
    </w:p>
    <w:p w14:paraId="74202D1F" w14:textId="116FE597" w:rsidR="003D6322" w:rsidRPr="003D6322" w:rsidRDefault="003D6322" w:rsidP="003D6322">
      <w:pPr>
        <w:jc w:val="center"/>
        <w:rPr>
          <w:rFonts w:asciiTheme="minorHAnsi" w:hAnsiTheme="minorHAnsi" w:cstheme="minorHAnsi"/>
        </w:rPr>
      </w:pPr>
    </w:p>
    <w:p w14:paraId="0CC797EB" w14:textId="77777777" w:rsidR="003D6322" w:rsidRPr="003D6322" w:rsidRDefault="003D6322" w:rsidP="003D632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1902D719" w14:textId="601BBF7A" w:rsidR="003D6322" w:rsidRPr="003D6322" w:rsidRDefault="003D6322" w:rsidP="003D6322">
      <w:pPr>
        <w:jc w:val="center"/>
        <w:rPr>
          <w:rFonts w:asciiTheme="minorHAnsi" w:hAnsiTheme="minorHAnsi" w:cstheme="minorHAnsi"/>
        </w:rPr>
      </w:pPr>
      <w:r w:rsidRPr="003D6322">
        <w:rPr>
          <w:rFonts w:asciiTheme="minorHAnsi" w:hAnsiTheme="minorHAnsi" w:cstheme="minorHAnsi"/>
        </w:rPr>
        <w:t>SOCIETA’______________________ C.F. ___________________________________</w:t>
      </w:r>
    </w:p>
    <w:p w14:paraId="238D9280" w14:textId="77777777" w:rsidR="003D6322" w:rsidRDefault="003D6322" w:rsidP="003D6322">
      <w:pPr>
        <w:jc w:val="center"/>
      </w:pPr>
    </w:p>
    <w:p w14:paraId="136CB382" w14:textId="77777777" w:rsidR="003D6322" w:rsidRDefault="003D6322"/>
    <w:tbl>
      <w:tblPr>
        <w:tblStyle w:val="TableNormal"/>
        <w:tblW w:w="10066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7937"/>
        <w:gridCol w:w="1701"/>
      </w:tblGrid>
      <w:tr w:rsidR="003D6322" w:rsidRPr="009011E3" w14:paraId="0C795882" w14:textId="77777777" w:rsidTr="003D6322">
        <w:trPr>
          <w:trHeight w:val="450"/>
        </w:trPr>
        <w:tc>
          <w:tcPr>
            <w:tcW w:w="428" w:type="dxa"/>
          </w:tcPr>
          <w:p w14:paraId="5FCCB0F8" w14:textId="77777777" w:rsidR="003D6322" w:rsidRPr="009011E3" w:rsidRDefault="003D6322" w:rsidP="00ED29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37" w:type="dxa"/>
          </w:tcPr>
          <w:p w14:paraId="4AADFA4D" w14:textId="77777777" w:rsidR="003D6322" w:rsidRPr="009011E3" w:rsidRDefault="003D6322" w:rsidP="00ED2949">
            <w:pPr>
              <w:pStyle w:val="TableParagraph"/>
              <w:spacing w:line="270" w:lineRule="exact"/>
              <w:ind w:left="2536"/>
              <w:rPr>
                <w:rFonts w:asciiTheme="minorHAnsi" w:hAnsiTheme="minorHAnsi" w:cstheme="minorHAnsi"/>
              </w:rPr>
            </w:pPr>
            <w:r w:rsidRPr="009011E3">
              <w:rPr>
                <w:rFonts w:asciiTheme="minorHAnsi" w:hAnsiTheme="minorHAnsi" w:cstheme="minorHAnsi"/>
              </w:rPr>
              <w:t>CRITERI DI VALUTAZIONE</w:t>
            </w:r>
          </w:p>
        </w:tc>
        <w:tc>
          <w:tcPr>
            <w:tcW w:w="1701" w:type="dxa"/>
          </w:tcPr>
          <w:p w14:paraId="0F683E82" w14:textId="7A1FE5D0" w:rsidR="003D6322" w:rsidRPr="009011E3" w:rsidRDefault="003D6322" w:rsidP="00ED2949">
            <w:pPr>
              <w:pStyle w:val="TableParagraph"/>
              <w:spacing w:line="230" w:lineRule="auto"/>
              <w:ind w:left="226" w:right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Valore </w:t>
            </w:r>
            <w:proofErr w:type="spellStart"/>
            <w:r>
              <w:rPr>
                <w:rFonts w:asciiTheme="minorHAnsi" w:hAnsiTheme="minorHAnsi" w:cstheme="minorHAnsi"/>
              </w:rPr>
              <w:t>offerto</w:t>
            </w:r>
            <w:proofErr w:type="spellEnd"/>
          </w:p>
          <w:p w14:paraId="2D32AF3C" w14:textId="77777777" w:rsidR="003D6322" w:rsidRPr="009011E3" w:rsidRDefault="003D6322" w:rsidP="00ED2949">
            <w:pPr>
              <w:pStyle w:val="TableParagraph"/>
              <w:spacing w:line="249" w:lineRule="exact"/>
              <w:ind w:left="225" w:right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322" w:rsidRPr="009011E3" w14:paraId="7B643CC8" w14:textId="77777777" w:rsidTr="003D6322">
        <w:trPr>
          <w:trHeight w:val="425"/>
        </w:trPr>
        <w:tc>
          <w:tcPr>
            <w:tcW w:w="428" w:type="dxa"/>
          </w:tcPr>
          <w:p w14:paraId="2645202F" w14:textId="77777777" w:rsidR="003D6322" w:rsidRPr="009011E3" w:rsidRDefault="003D6322" w:rsidP="00ED2949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4F08450" w14:textId="77777777" w:rsidR="003D6322" w:rsidRPr="009011E3" w:rsidRDefault="003D6322" w:rsidP="00ED2949">
            <w:pPr>
              <w:pStyle w:val="TableParagraph"/>
              <w:ind w:left="153"/>
              <w:rPr>
                <w:rFonts w:asciiTheme="minorHAnsi" w:hAnsiTheme="minorHAnsi" w:cstheme="minorHAnsi"/>
              </w:rPr>
            </w:pPr>
            <w:r w:rsidRPr="009011E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37" w:type="dxa"/>
          </w:tcPr>
          <w:p w14:paraId="5A10D7B7" w14:textId="77777777" w:rsidR="003D6322" w:rsidRPr="009011E3" w:rsidRDefault="003D6322" w:rsidP="00ED2949">
            <w:pPr>
              <w:pStyle w:val="TableParagraph"/>
              <w:spacing w:before="4"/>
              <w:ind w:left="9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Importo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soglia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di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esenzione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ai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fini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dell’applicazione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della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commissione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a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carico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dell’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Ente</w:t>
            </w:r>
            <w:proofErr w:type="spellEnd"/>
            <w:r w:rsidRPr="009011E3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0132228D" w14:textId="34C04311" w:rsidR="003D6322" w:rsidRPr="009011E3" w:rsidRDefault="003D6322" w:rsidP="00ED2949">
            <w:pPr>
              <w:pStyle w:val="TableParagraph"/>
              <w:ind w:right="72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D6322" w:rsidRPr="009011E3" w14:paraId="49E7E73C" w14:textId="77777777" w:rsidTr="003D6322">
        <w:trPr>
          <w:trHeight w:val="1683"/>
        </w:trPr>
        <w:tc>
          <w:tcPr>
            <w:tcW w:w="428" w:type="dxa"/>
          </w:tcPr>
          <w:p w14:paraId="4F7CC263" w14:textId="77777777" w:rsidR="003D6322" w:rsidRPr="009011E3" w:rsidRDefault="003D6322" w:rsidP="00ED2949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003A2D68" w14:textId="77777777" w:rsidR="003D6322" w:rsidRPr="009011E3" w:rsidRDefault="003D6322" w:rsidP="00ED2949">
            <w:pPr>
              <w:pStyle w:val="TableParagraph"/>
              <w:ind w:left="153"/>
              <w:rPr>
                <w:rFonts w:asciiTheme="minorHAnsi" w:hAnsiTheme="minorHAnsi" w:cstheme="minorHAnsi"/>
              </w:rPr>
            </w:pPr>
            <w:r w:rsidRPr="009011E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37" w:type="dxa"/>
          </w:tcPr>
          <w:p w14:paraId="52EC8F4D" w14:textId="77777777" w:rsidR="003D6322" w:rsidRPr="009011E3" w:rsidRDefault="003D6322" w:rsidP="00ED2949">
            <w:pPr>
              <w:pStyle w:val="TableParagraph"/>
              <w:spacing w:before="3" w:line="249" w:lineRule="auto"/>
              <w:ind w:left="9" w:right="-8"/>
              <w:rPr>
                <w:rFonts w:asciiTheme="minorHAnsi" w:hAnsiTheme="minorHAnsi" w:cstheme="minorHAnsi"/>
                <w:b/>
              </w:rPr>
            </w:pPr>
            <w:proofErr w:type="spellStart"/>
            <w:r w:rsidRPr="009011E3">
              <w:rPr>
                <w:rFonts w:asciiTheme="minorHAnsi" w:hAnsiTheme="minorHAnsi" w:cstheme="minorHAnsi"/>
                <w:b/>
              </w:rPr>
              <w:t>Commissione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massima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carico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dell’Ente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per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estinzione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dei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mandati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pagamento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5842505E" w14:textId="070A318D" w:rsidR="003D6322" w:rsidRPr="009011E3" w:rsidRDefault="003D6322" w:rsidP="00ED2949">
            <w:pPr>
              <w:pStyle w:val="TableParagraph"/>
              <w:spacing w:before="3" w:line="249" w:lineRule="auto"/>
              <w:ind w:left="9" w:right="-8"/>
              <w:rPr>
                <w:rFonts w:asciiTheme="minorHAnsi" w:hAnsiTheme="minorHAnsi" w:cstheme="minorHAnsi"/>
                <w:i/>
              </w:rPr>
            </w:pPr>
            <w:r w:rsidRPr="009011E3">
              <w:rPr>
                <w:rFonts w:asciiTheme="minorHAnsi" w:hAnsiTheme="minorHAnsi" w:cstheme="minorHAnsi"/>
                <w:i/>
              </w:rPr>
              <w:t xml:space="preserve">Il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concorrente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dovrà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la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commissione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massima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espressa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in Euro,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che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sarà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oggetto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011E3"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proofErr w:type="gramStart"/>
            <w:r w:rsidRPr="009011E3">
              <w:rPr>
                <w:rFonts w:asciiTheme="minorHAnsi" w:hAnsiTheme="minorHAnsi" w:cstheme="minorHAnsi"/>
                <w:i/>
              </w:rPr>
              <w:t>valutazione.Nel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011E3">
              <w:rPr>
                <w:rFonts w:asciiTheme="minorHAnsi" w:hAnsiTheme="minorHAnsi" w:cstheme="minorHAnsi"/>
                <w:i/>
              </w:rPr>
              <w:t>in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011E3">
              <w:rPr>
                <w:rFonts w:asciiTheme="minorHAnsi" w:hAnsiTheme="minorHAnsi" w:cstheme="minorHAnsi"/>
                <w:i/>
              </w:rPr>
              <w:t>cui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il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concorrente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intenda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prevedere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più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fasce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011E3">
              <w:rPr>
                <w:rFonts w:asciiTheme="minorHAnsi" w:hAnsiTheme="minorHAnsi" w:cstheme="minorHAnsi"/>
                <w:i/>
              </w:rPr>
              <w:t xml:space="preserve">per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l’applicazione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della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commissione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, per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l’attribuzione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del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punteggio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terrà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conto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unicamente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commissione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massima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espresso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inEuro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>.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011E3">
              <w:rPr>
                <w:rFonts w:asciiTheme="minorHAnsi" w:hAnsiTheme="minorHAnsi" w:cstheme="minorHAnsi"/>
                <w:i/>
              </w:rPr>
              <w:t>In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011E3"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aggiudicazione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il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concorrente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comunque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resta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obbligato ad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applicare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le diverse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commissioni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offerte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per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l’intera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durata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delservizio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701" w:type="dxa"/>
          </w:tcPr>
          <w:p w14:paraId="67B29AC2" w14:textId="4ED9A93C" w:rsidR="003D6322" w:rsidRPr="009011E3" w:rsidRDefault="003D6322" w:rsidP="00ED2949">
            <w:pPr>
              <w:pStyle w:val="TableParagraph"/>
              <w:ind w:right="72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D6322" w:rsidRPr="009011E3" w14:paraId="5D761CD0" w14:textId="77777777" w:rsidTr="003D6322">
        <w:trPr>
          <w:trHeight w:val="607"/>
        </w:trPr>
        <w:tc>
          <w:tcPr>
            <w:tcW w:w="428" w:type="dxa"/>
          </w:tcPr>
          <w:p w14:paraId="609EC2B6" w14:textId="77777777" w:rsidR="003D6322" w:rsidRPr="009011E3" w:rsidRDefault="003D6322" w:rsidP="00ED2949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5A098C2" w14:textId="77777777" w:rsidR="003D6322" w:rsidRPr="009011E3" w:rsidRDefault="003D6322" w:rsidP="00ED2949">
            <w:pPr>
              <w:pStyle w:val="TableParagraph"/>
              <w:ind w:left="153"/>
              <w:rPr>
                <w:rFonts w:asciiTheme="minorHAnsi" w:hAnsiTheme="minorHAnsi" w:cstheme="minorHAnsi"/>
              </w:rPr>
            </w:pPr>
            <w:r w:rsidRPr="009011E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37" w:type="dxa"/>
          </w:tcPr>
          <w:p w14:paraId="3D111FBF" w14:textId="77777777" w:rsidR="003D6322" w:rsidRPr="009011E3" w:rsidRDefault="003D6322" w:rsidP="00ED2949">
            <w:pPr>
              <w:pStyle w:val="TableParagraph"/>
              <w:spacing w:before="4"/>
              <w:ind w:left="9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Ordinativi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di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pagamento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totalmente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esenti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da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commissione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(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utenze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e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competenze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stipendiali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e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relativi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oneri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contributivi</w:t>
            </w:r>
            <w:proofErr w:type="spellEnd"/>
            <w:r w:rsidRPr="009011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56C1A224" w14:textId="0F3E3645" w:rsidR="003D6322" w:rsidRPr="009011E3" w:rsidRDefault="003D6322" w:rsidP="00ED2949">
            <w:pPr>
              <w:pStyle w:val="TableParagraph"/>
              <w:spacing w:line="261" w:lineRule="exact"/>
              <w:ind w:left="829"/>
              <w:rPr>
                <w:rFonts w:asciiTheme="minorHAnsi" w:hAnsiTheme="minorHAnsi" w:cstheme="minorHAnsi"/>
              </w:rPr>
            </w:pPr>
          </w:p>
        </w:tc>
      </w:tr>
      <w:tr w:rsidR="003D6322" w:rsidRPr="009011E3" w14:paraId="76E86F39" w14:textId="77777777" w:rsidTr="003D6322">
        <w:trPr>
          <w:trHeight w:val="607"/>
        </w:trPr>
        <w:tc>
          <w:tcPr>
            <w:tcW w:w="428" w:type="dxa"/>
          </w:tcPr>
          <w:p w14:paraId="173C3A52" w14:textId="77777777" w:rsidR="003D6322" w:rsidRPr="009011E3" w:rsidRDefault="003D6322" w:rsidP="00ED2949">
            <w:pPr>
              <w:pStyle w:val="TableParagraph"/>
              <w:spacing w:line="261" w:lineRule="exact"/>
              <w:ind w:left="129"/>
              <w:rPr>
                <w:rFonts w:asciiTheme="minorHAnsi" w:hAnsiTheme="minorHAnsi" w:cstheme="minorHAnsi"/>
              </w:rPr>
            </w:pPr>
            <w:r w:rsidRPr="009011E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37" w:type="dxa"/>
          </w:tcPr>
          <w:p w14:paraId="7C961EB2" w14:textId="77777777" w:rsidR="003D6322" w:rsidRPr="009011E3" w:rsidRDefault="003D6322" w:rsidP="00ED2949">
            <w:pPr>
              <w:pStyle w:val="TableParagraph"/>
              <w:spacing w:line="249" w:lineRule="auto"/>
              <w:ind w:left="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011E3">
              <w:rPr>
                <w:rFonts w:asciiTheme="minorHAnsi" w:hAnsiTheme="minorHAnsi" w:cstheme="minorHAnsi"/>
                <w:b/>
              </w:rPr>
              <w:t>Remunerazione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per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attivazione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sportello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POS</w:t>
            </w:r>
          </w:p>
          <w:p w14:paraId="26249ABC" w14:textId="77777777" w:rsidR="003D6322" w:rsidRPr="009011E3" w:rsidRDefault="003D6322" w:rsidP="00ED2949">
            <w:pPr>
              <w:pStyle w:val="TableParagraph"/>
              <w:ind w:left="9"/>
              <w:jc w:val="both"/>
              <w:rPr>
                <w:rFonts w:asciiTheme="minorHAnsi" w:hAnsiTheme="minorHAnsi" w:cstheme="minorHAnsi"/>
                <w:bCs/>
              </w:rPr>
            </w:pPr>
            <w:r w:rsidRPr="009011E3">
              <w:rPr>
                <w:rFonts w:asciiTheme="minorHAnsi" w:hAnsiTheme="minorHAnsi" w:cstheme="minorHAnsi"/>
                <w:bCs/>
              </w:rPr>
              <w:t xml:space="preserve">(art 16 punto 2 b </w:t>
            </w:r>
            <w:proofErr w:type="spellStart"/>
            <w:r w:rsidRPr="009011E3">
              <w:rPr>
                <w:rFonts w:asciiTheme="minorHAnsi" w:hAnsiTheme="minorHAnsi" w:cstheme="minorHAnsi"/>
                <w:bCs/>
              </w:rPr>
              <w:t>della</w:t>
            </w:r>
            <w:proofErr w:type="spellEnd"/>
            <w:r w:rsidRPr="009011E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Cs/>
              </w:rPr>
              <w:t>Convenzione</w:t>
            </w:r>
            <w:proofErr w:type="spellEnd"/>
            <w:r w:rsidRPr="009011E3">
              <w:rPr>
                <w:rFonts w:asciiTheme="minorHAnsi" w:hAnsiTheme="minorHAnsi" w:cstheme="minorHAnsi"/>
                <w:bCs/>
              </w:rPr>
              <w:t>)</w:t>
            </w:r>
          </w:p>
          <w:p w14:paraId="6550F2BD" w14:textId="77777777" w:rsidR="003D6322" w:rsidRPr="009011E3" w:rsidRDefault="003D6322" w:rsidP="00ED2949">
            <w:pPr>
              <w:pStyle w:val="TableParagraph"/>
              <w:spacing w:line="249" w:lineRule="auto"/>
              <w:ind w:left="9"/>
              <w:jc w:val="both"/>
              <w:rPr>
                <w:rFonts w:asciiTheme="minorHAnsi" w:hAnsiTheme="minorHAnsi" w:cstheme="minorHAnsi"/>
                <w:i/>
              </w:rPr>
            </w:pPr>
            <w:r w:rsidRPr="009011E3">
              <w:rPr>
                <w:rFonts w:asciiTheme="minorHAnsi" w:hAnsiTheme="minorHAnsi" w:cstheme="minorHAnsi"/>
                <w:i/>
              </w:rPr>
              <w:t xml:space="preserve">Il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concorrente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dovrà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la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commissione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espressa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in Euro per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l’attivazione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e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gestione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di n.1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sportello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POS.</w:t>
            </w:r>
          </w:p>
        </w:tc>
        <w:tc>
          <w:tcPr>
            <w:tcW w:w="1701" w:type="dxa"/>
          </w:tcPr>
          <w:p w14:paraId="6D7D31B2" w14:textId="60B4B5E1" w:rsidR="003D6322" w:rsidRPr="009011E3" w:rsidRDefault="003D6322" w:rsidP="00ED2949">
            <w:pPr>
              <w:pStyle w:val="TableParagraph"/>
              <w:spacing w:line="261" w:lineRule="exact"/>
              <w:ind w:left="829"/>
              <w:rPr>
                <w:rFonts w:asciiTheme="minorHAnsi" w:hAnsiTheme="minorHAnsi" w:cstheme="minorHAnsi"/>
              </w:rPr>
            </w:pPr>
          </w:p>
        </w:tc>
      </w:tr>
      <w:tr w:rsidR="003D6322" w:rsidRPr="009011E3" w14:paraId="6D65D36A" w14:textId="77777777" w:rsidTr="003D6322">
        <w:trPr>
          <w:trHeight w:val="607"/>
        </w:trPr>
        <w:tc>
          <w:tcPr>
            <w:tcW w:w="428" w:type="dxa"/>
          </w:tcPr>
          <w:p w14:paraId="4DFFDDC2" w14:textId="77777777" w:rsidR="003D6322" w:rsidRPr="009011E3" w:rsidRDefault="003D6322" w:rsidP="00ED2949">
            <w:pPr>
              <w:pStyle w:val="TableParagraph"/>
              <w:spacing w:line="261" w:lineRule="exact"/>
              <w:ind w:left="129"/>
              <w:rPr>
                <w:rFonts w:asciiTheme="minorHAnsi" w:hAnsiTheme="minorHAnsi" w:cstheme="minorHAnsi"/>
              </w:rPr>
            </w:pPr>
            <w:r w:rsidRPr="009011E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37" w:type="dxa"/>
          </w:tcPr>
          <w:p w14:paraId="6BEB45A6" w14:textId="77777777" w:rsidR="003D6322" w:rsidRPr="009011E3" w:rsidRDefault="003D6322" w:rsidP="00ED2949">
            <w:pPr>
              <w:pStyle w:val="TableParagraph"/>
              <w:ind w:left="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011E3">
              <w:rPr>
                <w:rFonts w:asciiTheme="minorHAnsi" w:hAnsiTheme="minorHAnsi" w:cstheme="minorHAnsi"/>
                <w:b/>
              </w:rPr>
              <w:t>Remunerazione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Carte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prepagate</w:t>
            </w:r>
            <w:proofErr w:type="spellEnd"/>
          </w:p>
          <w:p w14:paraId="3BDBD9E8" w14:textId="77777777" w:rsidR="003D6322" w:rsidRPr="009011E3" w:rsidRDefault="003D6322" w:rsidP="00ED2949">
            <w:pPr>
              <w:pStyle w:val="TableParagraph"/>
              <w:ind w:left="9"/>
              <w:jc w:val="both"/>
              <w:rPr>
                <w:rFonts w:asciiTheme="minorHAnsi" w:hAnsiTheme="minorHAnsi" w:cstheme="minorHAnsi"/>
                <w:bCs/>
              </w:rPr>
            </w:pPr>
            <w:r w:rsidRPr="009011E3">
              <w:rPr>
                <w:rFonts w:asciiTheme="minorHAnsi" w:hAnsiTheme="minorHAnsi" w:cstheme="minorHAnsi"/>
                <w:bCs/>
              </w:rPr>
              <w:t xml:space="preserve">(art 16 punto 2 b </w:t>
            </w:r>
            <w:proofErr w:type="spellStart"/>
            <w:r w:rsidRPr="009011E3">
              <w:rPr>
                <w:rFonts w:asciiTheme="minorHAnsi" w:hAnsiTheme="minorHAnsi" w:cstheme="minorHAnsi"/>
                <w:bCs/>
              </w:rPr>
              <w:t>della</w:t>
            </w:r>
            <w:proofErr w:type="spellEnd"/>
            <w:r w:rsidRPr="009011E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Cs/>
              </w:rPr>
              <w:t>Convenzione</w:t>
            </w:r>
            <w:proofErr w:type="spellEnd"/>
            <w:r w:rsidRPr="009011E3">
              <w:rPr>
                <w:rFonts w:asciiTheme="minorHAnsi" w:hAnsiTheme="minorHAnsi" w:cstheme="minorHAnsi"/>
                <w:bCs/>
              </w:rPr>
              <w:t>)</w:t>
            </w:r>
          </w:p>
          <w:p w14:paraId="7C4362A2" w14:textId="77777777" w:rsidR="003D6322" w:rsidRPr="009011E3" w:rsidRDefault="003D6322" w:rsidP="00ED2949">
            <w:pPr>
              <w:pStyle w:val="TableParagraph"/>
              <w:ind w:left="9"/>
              <w:jc w:val="both"/>
              <w:rPr>
                <w:rFonts w:asciiTheme="minorHAnsi" w:hAnsiTheme="minorHAnsi" w:cstheme="minorHAnsi"/>
                <w:i/>
              </w:rPr>
            </w:pPr>
            <w:r w:rsidRPr="009011E3">
              <w:rPr>
                <w:rFonts w:asciiTheme="minorHAnsi" w:hAnsiTheme="minorHAnsi" w:cstheme="minorHAnsi"/>
                <w:i/>
              </w:rPr>
              <w:t xml:space="preserve">Il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concorrente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dovrà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la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commissione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espressa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in Euro per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l’attivazione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e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gestione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di una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singola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 xml:space="preserve"> Carta </w:t>
            </w:r>
            <w:proofErr w:type="spellStart"/>
            <w:r w:rsidRPr="009011E3">
              <w:rPr>
                <w:rFonts w:asciiTheme="minorHAnsi" w:hAnsiTheme="minorHAnsi" w:cstheme="minorHAnsi"/>
                <w:i/>
              </w:rPr>
              <w:t>prepagata</w:t>
            </w:r>
            <w:proofErr w:type="spellEnd"/>
            <w:r w:rsidRPr="009011E3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701" w:type="dxa"/>
          </w:tcPr>
          <w:p w14:paraId="402BDA63" w14:textId="0FB25727" w:rsidR="003D6322" w:rsidRPr="009011E3" w:rsidRDefault="003D6322" w:rsidP="00ED2949">
            <w:pPr>
              <w:pStyle w:val="TableParagraph"/>
              <w:spacing w:line="261" w:lineRule="exact"/>
              <w:ind w:left="829"/>
              <w:rPr>
                <w:rFonts w:asciiTheme="minorHAnsi" w:hAnsiTheme="minorHAnsi" w:cstheme="minorHAnsi"/>
              </w:rPr>
            </w:pPr>
          </w:p>
        </w:tc>
      </w:tr>
      <w:tr w:rsidR="003D6322" w:rsidRPr="009011E3" w14:paraId="4309B6AF" w14:textId="77777777" w:rsidTr="003D6322">
        <w:trPr>
          <w:trHeight w:val="607"/>
        </w:trPr>
        <w:tc>
          <w:tcPr>
            <w:tcW w:w="428" w:type="dxa"/>
          </w:tcPr>
          <w:p w14:paraId="766C8656" w14:textId="77777777" w:rsidR="003D6322" w:rsidRPr="009011E3" w:rsidRDefault="003D6322" w:rsidP="00ED2949">
            <w:pPr>
              <w:pStyle w:val="TableParagraph"/>
              <w:spacing w:line="261" w:lineRule="exact"/>
              <w:ind w:left="129"/>
              <w:rPr>
                <w:rFonts w:asciiTheme="minorHAnsi" w:hAnsiTheme="minorHAnsi" w:cstheme="minorHAnsi"/>
              </w:rPr>
            </w:pPr>
            <w:r w:rsidRPr="009011E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37" w:type="dxa"/>
          </w:tcPr>
          <w:p w14:paraId="3C6A82C2" w14:textId="77777777" w:rsidR="003D6322" w:rsidRPr="009011E3" w:rsidRDefault="003D6322" w:rsidP="00ED2949">
            <w:pPr>
              <w:pStyle w:val="TableParagraph"/>
              <w:spacing w:line="249" w:lineRule="auto"/>
              <w:ind w:left="9"/>
              <w:jc w:val="both"/>
              <w:rPr>
                <w:rFonts w:asciiTheme="minorHAnsi" w:hAnsiTheme="minorHAnsi" w:cstheme="minorHAnsi"/>
              </w:rPr>
            </w:pPr>
            <w:r w:rsidRPr="009011E3">
              <w:rPr>
                <w:rFonts w:asciiTheme="minorHAnsi" w:hAnsiTheme="minorHAnsi" w:cstheme="minorHAnsi"/>
                <w:b/>
              </w:rPr>
              <w:t xml:space="preserve">Tasso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attivo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su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giacenze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cassa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su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tutti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conti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correnti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intestati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  <w:b/>
              </w:rPr>
              <w:t>all’Ente</w:t>
            </w:r>
            <w:proofErr w:type="spellEnd"/>
            <w:r w:rsidRPr="009011E3">
              <w:rPr>
                <w:rFonts w:asciiTheme="minorHAnsi" w:hAnsiTheme="minorHAnsi" w:cstheme="minorHAnsi"/>
                <w:b/>
              </w:rPr>
              <w:t xml:space="preserve"> </w:t>
            </w:r>
            <w:r w:rsidRPr="009011E3">
              <w:rPr>
                <w:rFonts w:asciiTheme="minorHAnsi" w:hAnsiTheme="minorHAnsi" w:cstheme="minorHAnsi"/>
              </w:rPr>
              <w:t xml:space="preserve">(art. 17 </w:t>
            </w:r>
            <w:proofErr w:type="spellStart"/>
            <w:r w:rsidRPr="009011E3">
              <w:rPr>
                <w:rFonts w:asciiTheme="minorHAnsi" w:hAnsiTheme="minorHAnsi" w:cstheme="minorHAnsi"/>
              </w:rPr>
              <w:t>dello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schema di </w:t>
            </w:r>
            <w:proofErr w:type="spellStart"/>
            <w:r w:rsidRPr="009011E3">
              <w:rPr>
                <w:rFonts w:asciiTheme="minorHAnsi" w:hAnsiTheme="minorHAnsi" w:cstheme="minorHAnsi"/>
              </w:rPr>
              <w:t>convenzione</w:t>
            </w:r>
            <w:proofErr w:type="spellEnd"/>
            <w:r w:rsidRPr="009011E3">
              <w:rPr>
                <w:rFonts w:asciiTheme="minorHAnsi" w:hAnsiTheme="minorHAnsi" w:cstheme="minorHAnsi"/>
              </w:rPr>
              <w:t>) (</w:t>
            </w:r>
            <w:proofErr w:type="spellStart"/>
            <w:r w:rsidRPr="009011E3">
              <w:rPr>
                <w:rFonts w:asciiTheme="minorHAnsi" w:hAnsiTheme="minorHAnsi" w:cstheme="minorHAnsi"/>
              </w:rPr>
              <w:t>compresi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economo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011E3">
              <w:rPr>
                <w:rFonts w:asciiTheme="minorHAnsi" w:hAnsiTheme="minorHAnsi" w:cstheme="minorHAnsi"/>
              </w:rPr>
              <w:t>riscuotitori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speciali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011E3">
              <w:rPr>
                <w:rFonts w:asciiTheme="minorHAnsi" w:hAnsiTheme="minorHAnsi" w:cstheme="minorHAnsi"/>
              </w:rPr>
              <w:t>ecc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.), </w:t>
            </w:r>
            <w:proofErr w:type="spellStart"/>
            <w:r w:rsidRPr="009011E3">
              <w:rPr>
                <w:rFonts w:asciiTheme="minorHAnsi" w:hAnsiTheme="minorHAnsi" w:cstheme="minorHAnsi"/>
              </w:rPr>
              <w:t>detenibili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ai </w:t>
            </w:r>
            <w:proofErr w:type="spellStart"/>
            <w:r w:rsidRPr="009011E3">
              <w:rPr>
                <w:rFonts w:asciiTheme="minorHAnsi" w:hAnsiTheme="minorHAnsi" w:cstheme="minorHAnsi"/>
              </w:rPr>
              <w:t>sensi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9011E3">
              <w:rPr>
                <w:rFonts w:asciiTheme="minorHAnsi" w:hAnsiTheme="minorHAnsi" w:cstheme="minorHAnsi"/>
              </w:rPr>
              <w:t>legge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presso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l'Istituto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Tesoriere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: spread in </w:t>
            </w:r>
            <w:proofErr w:type="spellStart"/>
            <w:r w:rsidRPr="009011E3">
              <w:rPr>
                <w:rFonts w:asciiTheme="minorHAnsi" w:hAnsiTheme="minorHAnsi" w:cstheme="minorHAnsi"/>
              </w:rPr>
              <w:t>aumento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o in </w:t>
            </w:r>
            <w:proofErr w:type="spellStart"/>
            <w:r w:rsidRPr="009011E3">
              <w:rPr>
                <w:rFonts w:asciiTheme="minorHAnsi" w:hAnsiTheme="minorHAnsi" w:cstheme="minorHAnsi"/>
              </w:rPr>
              <w:t>diminuzione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rispetto </w:t>
            </w:r>
            <w:proofErr w:type="spellStart"/>
            <w:r w:rsidRPr="009011E3">
              <w:rPr>
                <w:rFonts w:asciiTheme="minorHAnsi" w:hAnsiTheme="minorHAnsi" w:cstheme="minorHAnsi"/>
              </w:rPr>
              <w:t>all’Euribor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a 3 </w:t>
            </w:r>
            <w:proofErr w:type="spellStart"/>
            <w:r w:rsidRPr="009011E3">
              <w:rPr>
                <w:rFonts w:asciiTheme="minorHAnsi" w:hAnsiTheme="minorHAnsi" w:cstheme="minorHAnsi"/>
              </w:rPr>
              <w:t>mesi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/360gg, </w:t>
            </w:r>
            <w:proofErr w:type="spellStart"/>
            <w:r w:rsidRPr="009011E3">
              <w:rPr>
                <w:rFonts w:asciiTheme="minorHAnsi" w:hAnsiTheme="minorHAnsi" w:cstheme="minorHAnsi"/>
              </w:rPr>
              <w:t>riferito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alla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media del </w:t>
            </w:r>
            <w:proofErr w:type="spellStart"/>
            <w:r w:rsidRPr="009011E3">
              <w:rPr>
                <w:rFonts w:asciiTheme="minorHAnsi" w:hAnsiTheme="minorHAnsi" w:cstheme="minorHAnsi"/>
              </w:rPr>
              <w:t>mese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precedente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. Il </w:t>
            </w:r>
            <w:proofErr w:type="spellStart"/>
            <w:r w:rsidRPr="009011E3">
              <w:rPr>
                <w:rFonts w:asciiTheme="minorHAnsi" w:hAnsiTheme="minorHAnsi" w:cstheme="minorHAnsi"/>
              </w:rPr>
              <w:t>concorrente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dovrà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11E3">
              <w:rPr>
                <w:rFonts w:asciiTheme="minorHAnsi" w:hAnsiTheme="minorHAnsi" w:cstheme="minorHAnsi"/>
              </w:rPr>
              <w:t>indicare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lo spread </w:t>
            </w:r>
            <w:proofErr w:type="spellStart"/>
            <w:r w:rsidRPr="009011E3">
              <w:rPr>
                <w:rFonts w:asciiTheme="minorHAnsi" w:hAnsiTheme="minorHAnsi" w:cstheme="minorHAnsi"/>
              </w:rPr>
              <w:t>offerto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9011E3">
              <w:rPr>
                <w:rFonts w:asciiTheme="minorHAnsi" w:hAnsiTheme="minorHAnsi" w:cstheme="minorHAnsi"/>
              </w:rPr>
              <w:t>l’Euribor</w:t>
            </w:r>
            <w:proofErr w:type="spellEnd"/>
            <w:r w:rsidRPr="009011E3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9011E3">
              <w:rPr>
                <w:rFonts w:asciiTheme="minorHAnsi" w:hAnsiTheme="minorHAnsi" w:cstheme="minorHAnsi"/>
              </w:rPr>
              <w:t>riferimento</w:t>
            </w:r>
            <w:proofErr w:type="spellEnd"/>
            <w:r w:rsidRPr="009011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</w:tcPr>
          <w:p w14:paraId="5D272D82" w14:textId="47C6218C" w:rsidR="003D6322" w:rsidRPr="009011E3" w:rsidRDefault="003D6322" w:rsidP="00ED2949">
            <w:pPr>
              <w:pStyle w:val="TableParagraph"/>
              <w:spacing w:line="261" w:lineRule="exact"/>
              <w:ind w:left="829"/>
              <w:rPr>
                <w:rFonts w:asciiTheme="minorHAnsi" w:hAnsiTheme="minorHAnsi" w:cstheme="minorHAnsi"/>
              </w:rPr>
            </w:pPr>
          </w:p>
        </w:tc>
      </w:tr>
      <w:tr w:rsidR="003D6322" w:rsidRPr="00C17D96" w14:paraId="1D250104" w14:textId="77777777" w:rsidTr="003D6322">
        <w:trPr>
          <w:trHeight w:val="607"/>
        </w:trPr>
        <w:tc>
          <w:tcPr>
            <w:tcW w:w="428" w:type="dxa"/>
          </w:tcPr>
          <w:p w14:paraId="66B224F9" w14:textId="77777777" w:rsidR="003D6322" w:rsidRPr="00C17D96" w:rsidRDefault="003D6322" w:rsidP="00ED2949">
            <w:pPr>
              <w:pStyle w:val="TableParagraph"/>
              <w:spacing w:line="261" w:lineRule="exact"/>
              <w:ind w:left="129"/>
              <w:rPr>
                <w:rFonts w:asciiTheme="minorHAnsi" w:hAnsiTheme="minorHAnsi" w:cstheme="minorHAnsi"/>
              </w:rPr>
            </w:pPr>
            <w:r w:rsidRPr="00C17D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37" w:type="dxa"/>
          </w:tcPr>
          <w:p w14:paraId="5B4156A5" w14:textId="77777777" w:rsidR="003D6322" w:rsidRPr="00C17D96" w:rsidRDefault="003D6322" w:rsidP="00ED2949">
            <w:pPr>
              <w:pStyle w:val="TableParagraph"/>
              <w:spacing w:line="249" w:lineRule="auto"/>
              <w:ind w:left="9" w:right="-15"/>
              <w:jc w:val="both"/>
              <w:rPr>
                <w:rFonts w:asciiTheme="minorHAnsi" w:hAnsiTheme="minorHAnsi" w:cstheme="minorHAnsi"/>
              </w:rPr>
            </w:pPr>
            <w:r w:rsidRPr="00C17D96">
              <w:rPr>
                <w:rFonts w:asciiTheme="minorHAnsi" w:hAnsiTheme="minorHAnsi" w:cstheme="minorHAnsi"/>
                <w:b/>
              </w:rPr>
              <w:t xml:space="preserve">Tasso </w:t>
            </w:r>
            <w:proofErr w:type="spellStart"/>
            <w:r w:rsidRPr="00C17D96">
              <w:rPr>
                <w:rFonts w:asciiTheme="minorHAnsi" w:hAnsiTheme="minorHAnsi" w:cstheme="minorHAnsi"/>
                <w:b/>
              </w:rPr>
              <w:t>passivo</w:t>
            </w:r>
            <w:proofErr w:type="spellEnd"/>
            <w:r w:rsidRPr="00C17D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  <w:b/>
              </w:rPr>
              <w:t>su</w:t>
            </w:r>
            <w:proofErr w:type="spellEnd"/>
            <w:r w:rsidRPr="00C17D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  <w:b/>
              </w:rPr>
              <w:t>anticipazioni</w:t>
            </w:r>
            <w:proofErr w:type="spellEnd"/>
            <w:r w:rsidRPr="00C17D96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17D96">
              <w:rPr>
                <w:rFonts w:asciiTheme="minorHAnsi" w:hAnsiTheme="minorHAnsi" w:cstheme="minorHAnsi"/>
                <w:b/>
              </w:rPr>
              <w:t>tesoreria</w:t>
            </w:r>
            <w:proofErr w:type="spellEnd"/>
            <w:r w:rsidRPr="00C17D96">
              <w:rPr>
                <w:rFonts w:asciiTheme="minorHAnsi" w:hAnsiTheme="minorHAnsi" w:cstheme="minorHAnsi"/>
                <w:b/>
              </w:rPr>
              <w:t xml:space="preserve"> </w:t>
            </w:r>
            <w:r w:rsidRPr="00C17D96">
              <w:rPr>
                <w:rFonts w:asciiTheme="minorHAnsi" w:hAnsiTheme="minorHAnsi" w:cstheme="minorHAnsi"/>
              </w:rPr>
              <w:t xml:space="preserve">(art.11 </w:t>
            </w:r>
            <w:proofErr w:type="spellStart"/>
            <w:r w:rsidRPr="00C17D96">
              <w:rPr>
                <w:rFonts w:asciiTheme="minorHAnsi" w:hAnsiTheme="minorHAnsi" w:cstheme="minorHAnsi"/>
              </w:rPr>
              <w:t>dello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schema di </w:t>
            </w:r>
            <w:proofErr w:type="spellStart"/>
            <w:r w:rsidRPr="00C17D96">
              <w:rPr>
                <w:rFonts w:asciiTheme="minorHAnsi" w:hAnsiTheme="minorHAnsi" w:cstheme="minorHAnsi"/>
              </w:rPr>
              <w:t>convenzione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): spread in </w:t>
            </w:r>
            <w:proofErr w:type="spellStart"/>
            <w:r w:rsidRPr="00C17D96">
              <w:rPr>
                <w:rFonts w:asciiTheme="minorHAnsi" w:hAnsiTheme="minorHAnsi" w:cstheme="minorHAnsi"/>
              </w:rPr>
              <w:t>aumento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o in </w:t>
            </w:r>
            <w:proofErr w:type="spellStart"/>
            <w:r w:rsidRPr="00C17D96">
              <w:rPr>
                <w:rFonts w:asciiTheme="minorHAnsi" w:hAnsiTheme="minorHAnsi" w:cstheme="minorHAnsi"/>
              </w:rPr>
              <w:t>diminuzione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rispetto </w:t>
            </w:r>
            <w:proofErr w:type="spellStart"/>
            <w:r w:rsidRPr="00C17D96">
              <w:rPr>
                <w:rFonts w:asciiTheme="minorHAnsi" w:hAnsiTheme="minorHAnsi" w:cstheme="minorHAnsi"/>
              </w:rPr>
              <w:t>all’Euribor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a 3 </w:t>
            </w:r>
            <w:proofErr w:type="spellStart"/>
            <w:r w:rsidRPr="00C17D96">
              <w:rPr>
                <w:rFonts w:asciiTheme="minorHAnsi" w:hAnsiTheme="minorHAnsi" w:cstheme="minorHAnsi"/>
              </w:rPr>
              <w:t>mesi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/360gg, </w:t>
            </w:r>
            <w:proofErr w:type="spellStart"/>
            <w:r w:rsidRPr="00C17D96">
              <w:rPr>
                <w:rFonts w:asciiTheme="minorHAnsi" w:hAnsiTheme="minorHAnsi" w:cstheme="minorHAnsi"/>
              </w:rPr>
              <w:t>riferito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alla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media del </w:t>
            </w:r>
            <w:proofErr w:type="spellStart"/>
            <w:r w:rsidRPr="00C17D96">
              <w:rPr>
                <w:rFonts w:asciiTheme="minorHAnsi" w:hAnsiTheme="minorHAnsi" w:cstheme="minorHAnsi"/>
              </w:rPr>
              <w:t>mese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precedente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. Franco </w:t>
            </w:r>
            <w:proofErr w:type="spellStart"/>
            <w:r w:rsidRPr="00C17D96">
              <w:rPr>
                <w:rFonts w:asciiTheme="minorHAnsi" w:hAnsiTheme="minorHAnsi" w:cstheme="minorHAnsi"/>
              </w:rPr>
              <w:t>commissioni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. Il </w:t>
            </w:r>
            <w:proofErr w:type="spellStart"/>
            <w:r w:rsidRPr="00C17D96">
              <w:rPr>
                <w:rFonts w:asciiTheme="minorHAnsi" w:hAnsiTheme="minorHAnsi" w:cstheme="minorHAnsi"/>
              </w:rPr>
              <w:t>concorrente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dovrà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indicare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lo spread </w:t>
            </w:r>
            <w:proofErr w:type="spellStart"/>
            <w:r w:rsidRPr="00C17D96">
              <w:rPr>
                <w:rFonts w:asciiTheme="minorHAnsi" w:hAnsiTheme="minorHAnsi" w:cstheme="minorHAnsi"/>
              </w:rPr>
              <w:t>offerto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C17D96">
              <w:rPr>
                <w:rFonts w:asciiTheme="minorHAnsi" w:hAnsiTheme="minorHAnsi" w:cstheme="minorHAnsi"/>
              </w:rPr>
              <w:t>l’Euribor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17D96">
              <w:rPr>
                <w:rFonts w:asciiTheme="minorHAnsi" w:hAnsiTheme="minorHAnsi" w:cstheme="minorHAnsi"/>
              </w:rPr>
              <w:t>riferimento</w:t>
            </w:r>
            <w:proofErr w:type="spellEnd"/>
            <w:r w:rsidRPr="00C17D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</w:tcPr>
          <w:p w14:paraId="74A5F13F" w14:textId="1701E269" w:rsidR="003D6322" w:rsidRPr="00C17D96" w:rsidRDefault="003D6322" w:rsidP="00ED2949">
            <w:pPr>
              <w:pStyle w:val="TableParagraph"/>
              <w:spacing w:line="261" w:lineRule="exact"/>
              <w:ind w:left="829"/>
              <w:rPr>
                <w:rFonts w:asciiTheme="minorHAnsi" w:hAnsiTheme="minorHAnsi" w:cstheme="minorHAnsi"/>
              </w:rPr>
            </w:pPr>
          </w:p>
        </w:tc>
      </w:tr>
      <w:tr w:rsidR="003D6322" w:rsidRPr="00C17D96" w14:paraId="4D3C7045" w14:textId="77777777" w:rsidTr="003D6322">
        <w:trPr>
          <w:trHeight w:val="607"/>
        </w:trPr>
        <w:tc>
          <w:tcPr>
            <w:tcW w:w="428" w:type="dxa"/>
          </w:tcPr>
          <w:p w14:paraId="2FA4A523" w14:textId="77777777" w:rsidR="003D6322" w:rsidRPr="00C17D96" w:rsidRDefault="003D6322" w:rsidP="00ED2949">
            <w:pPr>
              <w:pStyle w:val="TableParagraph"/>
              <w:spacing w:line="261" w:lineRule="exact"/>
              <w:ind w:left="129"/>
              <w:rPr>
                <w:rFonts w:asciiTheme="minorHAnsi" w:hAnsiTheme="minorHAnsi" w:cstheme="minorHAnsi"/>
              </w:rPr>
            </w:pPr>
            <w:r w:rsidRPr="00C17D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937" w:type="dxa"/>
          </w:tcPr>
          <w:p w14:paraId="5A5FE969" w14:textId="77777777" w:rsidR="003D6322" w:rsidRPr="00C17D96" w:rsidRDefault="003D6322" w:rsidP="00ED2949">
            <w:pPr>
              <w:pStyle w:val="TableParagraph"/>
              <w:spacing w:line="249" w:lineRule="auto"/>
              <w:ind w:left="9" w:right="1"/>
              <w:jc w:val="both"/>
              <w:rPr>
                <w:rFonts w:asciiTheme="minorHAnsi" w:hAnsiTheme="minorHAnsi" w:cstheme="minorHAnsi"/>
              </w:rPr>
            </w:pPr>
            <w:r w:rsidRPr="00C17D96">
              <w:rPr>
                <w:rFonts w:asciiTheme="minorHAnsi" w:hAnsiTheme="minorHAnsi" w:cstheme="minorHAnsi"/>
                <w:b/>
              </w:rPr>
              <w:t xml:space="preserve">Tasso di </w:t>
            </w:r>
            <w:proofErr w:type="spellStart"/>
            <w:r w:rsidRPr="00C17D96">
              <w:rPr>
                <w:rFonts w:asciiTheme="minorHAnsi" w:hAnsiTheme="minorHAnsi" w:cstheme="minorHAnsi"/>
                <w:b/>
              </w:rPr>
              <w:t>commissione</w:t>
            </w:r>
            <w:proofErr w:type="spellEnd"/>
            <w:r w:rsidRPr="00C17D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espressa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C17D96">
              <w:rPr>
                <w:rFonts w:asciiTheme="minorHAnsi" w:hAnsiTheme="minorHAnsi" w:cstheme="minorHAnsi"/>
              </w:rPr>
              <w:t>percentuale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17D96">
              <w:rPr>
                <w:rFonts w:asciiTheme="minorHAnsi" w:hAnsiTheme="minorHAnsi" w:cstheme="minorHAnsi"/>
              </w:rPr>
              <w:t>calcolata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sull'importo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garantito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17D96">
              <w:rPr>
                <w:rFonts w:asciiTheme="minorHAnsi" w:hAnsiTheme="minorHAnsi" w:cstheme="minorHAnsi"/>
              </w:rPr>
              <w:t>omnicomprensiva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17D96">
              <w:rPr>
                <w:rFonts w:asciiTheme="minorHAnsi" w:hAnsiTheme="minorHAnsi" w:cstheme="minorHAnsi"/>
              </w:rPr>
              <w:t>per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rilascio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17D96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  <w:b/>
              </w:rPr>
              <w:t>garanzia</w:t>
            </w:r>
            <w:proofErr w:type="spellEnd"/>
            <w:r w:rsidRPr="00C17D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  <w:b/>
              </w:rPr>
              <w:t>fideiussoria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nelle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modalità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17D96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7D96">
              <w:rPr>
                <w:rFonts w:asciiTheme="minorHAnsi" w:hAnsiTheme="minorHAnsi" w:cstheme="minorHAnsi"/>
              </w:rPr>
              <w:t>per</w:t>
            </w:r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C17D96">
              <w:rPr>
                <w:rFonts w:asciiTheme="minorHAnsi" w:hAnsiTheme="minorHAnsi" w:cstheme="minorHAnsi"/>
              </w:rPr>
              <w:t>fini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17D96">
              <w:rPr>
                <w:rFonts w:asciiTheme="minorHAnsi" w:hAnsiTheme="minorHAnsi" w:cstheme="minorHAnsi"/>
              </w:rPr>
              <w:t xml:space="preserve">di cui </w:t>
            </w:r>
            <w:proofErr w:type="spellStart"/>
            <w:r w:rsidRPr="00C17D96">
              <w:rPr>
                <w:rFonts w:asciiTheme="minorHAnsi" w:hAnsiTheme="minorHAnsi" w:cstheme="minorHAnsi"/>
              </w:rPr>
              <w:t>all'art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. 207 </w:t>
            </w:r>
            <w:proofErr w:type="spellStart"/>
            <w:proofErr w:type="gramStart"/>
            <w:r w:rsidRPr="00C17D96">
              <w:rPr>
                <w:rFonts w:asciiTheme="minorHAnsi" w:hAnsiTheme="minorHAnsi" w:cstheme="minorHAnsi"/>
              </w:rPr>
              <w:t>D.Lgs</w:t>
            </w:r>
            <w:proofErr w:type="spellEnd"/>
            <w:proofErr w:type="gramEnd"/>
            <w:r w:rsidRPr="00C17D96">
              <w:rPr>
                <w:rFonts w:asciiTheme="minorHAnsi" w:hAnsiTheme="minorHAnsi" w:cstheme="minorHAnsi"/>
              </w:rPr>
              <w:t xml:space="preserve">. 267/2000 e </w:t>
            </w:r>
            <w:proofErr w:type="spellStart"/>
            <w:r w:rsidRPr="00C17D96">
              <w:rPr>
                <w:rFonts w:asciiTheme="minorHAnsi" w:hAnsiTheme="minorHAnsi" w:cstheme="minorHAnsi"/>
              </w:rPr>
              <w:t>s.m</w:t>
            </w:r>
            <w:proofErr w:type="spellEnd"/>
            <w:r w:rsidRPr="00C17D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7D96">
              <w:rPr>
                <w:rFonts w:asciiTheme="minorHAnsi" w:hAnsiTheme="minorHAnsi" w:cstheme="minorHAnsi"/>
              </w:rPr>
              <w:t>i</w:t>
            </w:r>
            <w:proofErr w:type="spellEnd"/>
            <w:r w:rsidRPr="00C17D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</w:tcPr>
          <w:p w14:paraId="2C8A35BD" w14:textId="3E5794DC" w:rsidR="003D6322" w:rsidRPr="00C17D96" w:rsidRDefault="003D6322" w:rsidP="00ED2949">
            <w:pPr>
              <w:pStyle w:val="TableParagraph"/>
              <w:spacing w:line="261" w:lineRule="exact"/>
              <w:ind w:left="829"/>
              <w:rPr>
                <w:rFonts w:asciiTheme="minorHAnsi" w:hAnsiTheme="minorHAnsi" w:cstheme="minorHAnsi"/>
              </w:rPr>
            </w:pPr>
          </w:p>
        </w:tc>
      </w:tr>
    </w:tbl>
    <w:p w14:paraId="76C6622C" w14:textId="734B0789" w:rsidR="003D6322" w:rsidRDefault="003D6322"/>
    <w:p w14:paraId="206D1632" w14:textId="7FE7F645" w:rsidR="003D6322" w:rsidRPr="003D6322" w:rsidRDefault="003D6322" w:rsidP="003D6322">
      <w:pPr>
        <w:jc w:val="right"/>
        <w:rPr>
          <w:rFonts w:asciiTheme="minorHAnsi" w:hAnsiTheme="minorHAnsi" w:cstheme="minorHAnsi"/>
        </w:rPr>
      </w:pPr>
      <w:r w:rsidRPr="003D6322">
        <w:rPr>
          <w:rFonts w:asciiTheme="minorHAnsi" w:hAnsiTheme="minorHAnsi" w:cstheme="minorHAnsi"/>
        </w:rPr>
        <w:t>Firma digitale</w:t>
      </w:r>
    </w:p>
    <w:sectPr w:rsidR="003D6322" w:rsidRPr="003D6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46"/>
    <w:rsid w:val="00251146"/>
    <w:rsid w:val="003D6322"/>
    <w:rsid w:val="007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B08C"/>
  <w15:chartTrackingRefBased/>
  <w15:docId w15:val="{D2A1BF1F-1771-408E-A714-0C2BAA91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6322"/>
    <w:pPr>
      <w:widowControl w:val="0"/>
      <w:autoSpaceDE w:val="0"/>
      <w:autoSpaceDN w:val="0"/>
    </w:pPr>
    <w:rPr>
      <w:rFonts w:eastAsia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tristano</dc:creator>
  <cp:keywords/>
  <dc:description/>
  <cp:lastModifiedBy>giuseppe tristano</cp:lastModifiedBy>
  <cp:revision>2</cp:revision>
  <dcterms:created xsi:type="dcterms:W3CDTF">2019-12-10T15:47:00Z</dcterms:created>
  <dcterms:modified xsi:type="dcterms:W3CDTF">2019-12-10T15:54:00Z</dcterms:modified>
</cp:coreProperties>
</file>